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85EE" w14:textId="7F787EAB" w:rsidR="00F566D4" w:rsidRDefault="003D2134" w:rsidP="00D23E1D">
      <w:pPr>
        <w:jc w:val="center"/>
        <w:rPr>
          <w:b/>
          <w:bCs/>
          <w:sz w:val="32"/>
          <w:szCs w:val="32"/>
          <w:u w:val="double"/>
        </w:rPr>
      </w:pPr>
      <w:r>
        <w:rPr>
          <w:b/>
          <w:bCs/>
          <w:sz w:val="32"/>
          <w:szCs w:val="32"/>
          <w:u w:val="double"/>
        </w:rPr>
        <w:t xml:space="preserve">Villa Real Special </w:t>
      </w:r>
      <w:proofErr w:type="spellStart"/>
      <w:r>
        <w:rPr>
          <w:b/>
          <w:bCs/>
          <w:sz w:val="32"/>
          <w:szCs w:val="32"/>
          <w:u w:val="double"/>
        </w:rPr>
        <w:t>School</w:t>
      </w:r>
      <w:r w:rsidR="00D23E1D" w:rsidRPr="00D049FC">
        <w:rPr>
          <w:b/>
          <w:bCs/>
          <w:sz w:val="32"/>
          <w:szCs w:val="32"/>
          <w:u w:val="double"/>
        </w:rPr>
        <w:t>School</w:t>
      </w:r>
      <w:proofErr w:type="spellEnd"/>
      <w:r w:rsidR="00D23E1D" w:rsidRPr="00D049FC">
        <w:rPr>
          <w:b/>
          <w:bCs/>
          <w:sz w:val="32"/>
          <w:szCs w:val="32"/>
          <w:u w:val="double"/>
        </w:rPr>
        <w:t xml:space="preserve">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6741F571" w14:textId="7F3BAF96" w:rsidR="00CE3B30" w:rsidRPr="00D049FC" w:rsidRDefault="007C799A" w:rsidP="00D23E1D">
      <w:pPr>
        <w:jc w:val="center"/>
        <w:rPr>
          <w:b/>
          <w:bCs/>
          <w:sz w:val="32"/>
          <w:szCs w:val="32"/>
          <w:u w:val="double"/>
        </w:rPr>
      </w:pPr>
      <w:r>
        <w:rPr>
          <w:b/>
          <w:bCs/>
          <w:sz w:val="32"/>
          <w:szCs w:val="32"/>
          <w:u w:val="double"/>
        </w:rPr>
        <w:t xml:space="preserve">Updated </w:t>
      </w:r>
      <w:r w:rsidR="003D2134">
        <w:rPr>
          <w:b/>
          <w:bCs/>
          <w:sz w:val="32"/>
          <w:szCs w:val="32"/>
          <w:u w:val="double"/>
        </w:rPr>
        <w:t>13</w:t>
      </w:r>
      <w:r w:rsidR="003D2134" w:rsidRPr="003D2134">
        <w:rPr>
          <w:b/>
          <w:bCs/>
          <w:sz w:val="32"/>
          <w:szCs w:val="32"/>
          <w:u w:val="double"/>
          <w:vertAlign w:val="superscript"/>
        </w:rPr>
        <w:t>th</w:t>
      </w:r>
      <w:r w:rsidR="003D2134">
        <w:rPr>
          <w:b/>
          <w:bCs/>
          <w:sz w:val="32"/>
          <w:szCs w:val="32"/>
          <w:u w:val="double"/>
        </w:rPr>
        <w:t xml:space="preserve"> October 2020</w:t>
      </w:r>
    </w:p>
    <w:p w14:paraId="27F99D8C" w14:textId="77777777" w:rsidR="00F31685" w:rsidRPr="00F31685" w:rsidRDefault="00F31685" w:rsidP="00F31685">
      <w:pPr>
        <w:pBdr>
          <w:top w:val="nil"/>
          <w:left w:val="nil"/>
          <w:bottom w:val="nil"/>
          <w:right w:val="nil"/>
          <w:between w:val="nil"/>
        </w:pBdr>
        <w:rPr>
          <w:rFonts w:ascii="Twinkl" w:eastAsia="Calibri" w:hAnsi="Twinkl" w:cs="Calibri"/>
          <w:b/>
          <w:i/>
          <w:iCs/>
          <w:color w:val="000000"/>
          <w:sz w:val="30"/>
          <w:szCs w:val="32"/>
          <w:u w:val="single"/>
          <w:lang w:eastAsia="en-GB"/>
        </w:rPr>
      </w:pPr>
      <w:bookmarkStart w:id="0" w:name="_Hlk49165991"/>
      <w:r w:rsidRPr="00F31685">
        <w:rPr>
          <w:rFonts w:ascii="Arial" w:eastAsia="Times New Roman" w:hAnsi="Arial" w:cs="Arial"/>
          <w:b/>
          <w:bCs/>
          <w:i/>
          <w:iCs/>
          <w:sz w:val="24"/>
          <w:szCs w:val="24"/>
          <w:lang w:val="en" w:eastAsia="en-GB"/>
        </w:rPr>
        <w:t>Funding allocation (Mainstream Schools)</w:t>
      </w:r>
    </w:p>
    <w:p w14:paraId="2E1DD5FB" w14:textId="56F61B4A" w:rsid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allocations will be calculated on a per pupil basis, providing each mainstream school with a total of £80 for each pupil in </w:t>
      </w:r>
      <w:proofErr w:type="gramStart"/>
      <w:r w:rsidRPr="00F31685">
        <w:rPr>
          <w:rFonts w:ascii="Arial" w:eastAsia="Times New Roman" w:hAnsi="Arial" w:cs="Arial"/>
          <w:i/>
          <w:iCs/>
          <w:lang w:val="en" w:eastAsia="en-GB"/>
        </w:rPr>
        <w:t>years</w:t>
      </w:r>
      <w:proofErr w:type="gramEnd"/>
      <w:r w:rsidRPr="00F31685">
        <w:rPr>
          <w:rFonts w:ascii="Arial" w:eastAsia="Times New Roman" w:hAnsi="Arial" w:cs="Arial"/>
          <w:i/>
          <w:iCs/>
          <w:lang w:val="en" w:eastAsia="en-GB"/>
        </w:rPr>
        <w:t xml:space="preserve"> reception through to 11.</w:t>
      </w:r>
    </w:p>
    <w:p w14:paraId="3A81C9FD" w14:textId="77777777" w:rsidR="00016889" w:rsidRPr="00F31685" w:rsidRDefault="00016889" w:rsidP="00016889">
      <w:pPr>
        <w:spacing w:after="0" w:line="240" w:lineRule="auto"/>
        <w:rPr>
          <w:rFonts w:ascii="Arial" w:eastAsia="Times New Roman" w:hAnsi="Arial" w:cs="Arial"/>
          <w:i/>
          <w:iCs/>
          <w:lang w:val="en" w:eastAsia="en-GB"/>
        </w:rPr>
      </w:pPr>
    </w:p>
    <w:p w14:paraId="49A6DB05"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b/>
          <w:bCs/>
          <w:i/>
          <w:iCs/>
          <w:lang w:val="en" w:eastAsia="en-GB"/>
        </w:rPr>
        <w:t>Payments</w:t>
      </w:r>
    </w:p>
    <w:p w14:paraId="212D2AAE" w14:textId="77777777" w:rsidR="00F31685" w:rsidRPr="00F31685" w:rsidRDefault="00F31685" w:rsidP="00016889">
      <w:pPr>
        <w:spacing w:line="240" w:lineRule="auto"/>
        <w:rPr>
          <w:rFonts w:ascii="Arial" w:eastAsia="Times New Roman" w:hAnsi="Arial" w:cs="Arial"/>
          <w:i/>
          <w:iCs/>
          <w:lang w:val="en" w:eastAsia="en-GB"/>
        </w:rPr>
      </w:pPr>
      <w:r w:rsidRPr="00F31685">
        <w:rPr>
          <w:rFonts w:ascii="Arial" w:eastAsia="Times New Roman" w:hAnsi="Arial" w:cs="Arial"/>
          <w:i/>
          <w:iCs/>
          <w:lang w:val="en" w:eastAsia="en-GB"/>
        </w:rPr>
        <w:t>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headcount from the October 2020 census.</w:t>
      </w:r>
    </w:p>
    <w:p w14:paraId="5CCB2336"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F31685">
        <w:rPr>
          <w:rFonts w:ascii="Arial" w:eastAsia="Times New Roman" w:hAnsi="Arial" w:cs="Arial"/>
          <w:b/>
          <w:bCs/>
          <w:i/>
          <w:iCs/>
          <w:lang w:val="en" w:eastAsia="en-GB"/>
        </w:rPr>
        <w:t xml:space="preserve">£46.67 </w:t>
      </w:r>
      <w:r w:rsidRPr="00F31685">
        <w:rPr>
          <w:rFonts w:ascii="Arial" w:eastAsia="Times New Roman" w:hAnsi="Arial" w:cs="Arial"/>
          <w:i/>
          <w:iCs/>
          <w:lang w:val="en" w:eastAsia="en-GB"/>
        </w:rPr>
        <w:t>per pupil. A further £33.33 per pupil will be paid during the summer term 2021.</w:t>
      </w:r>
    </w:p>
    <w:p w14:paraId="7812ABD3"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Though funding has been calculated on a per pupil basis, schools should use the sum available to them as a single total from which to </w:t>
      </w:r>
      <w:proofErr w:type="spellStart"/>
      <w:r w:rsidRPr="00F31685">
        <w:rPr>
          <w:rFonts w:ascii="Arial" w:eastAsia="Times New Roman" w:hAnsi="Arial" w:cs="Arial"/>
          <w:i/>
          <w:iCs/>
          <w:lang w:val="en" w:eastAsia="en-GB"/>
        </w:rPr>
        <w:t>prioritise</w:t>
      </w:r>
      <w:proofErr w:type="spellEnd"/>
      <w:r w:rsidRPr="00F31685">
        <w:rPr>
          <w:rFonts w:ascii="Arial" w:eastAsia="Times New Roman" w:hAnsi="Arial" w:cs="Arial"/>
          <w:i/>
          <w:iCs/>
          <w:lang w:val="en" w:eastAsia="en-GB"/>
        </w:rPr>
        <w:t xml:space="preserve"> support for pupils according to their need.</w:t>
      </w:r>
    </w:p>
    <w:p w14:paraId="7F56BC5A"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Use of funds</w:t>
      </w:r>
    </w:p>
    <w:p w14:paraId="2B01E6F5" w14:textId="326622E9"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5" w:anchor="section-3-curriculum-behaviour-and-pastoral-support" w:history="1">
        <w:r w:rsidRPr="00F31685">
          <w:rPr>
            <w:rFonts w:ascii="Arial" w:eastAsia="Times New Roman" w:hAnsi="Arial" w:cs="Arial"/>
            <w:i/>
            <w:iCs/>
            <w:color w:val="0000FF"/>
            <w:u w:val="single"/>
            <w:lang w:val="en" w:eastAsia="en-GB"/>
          </w:rPr>
          <w:t>curriculum expectations for the next academic year</w:t>
        </w:r>
      </w:hyperlink>
      <w:r w:rsidRPr="00F31685">
        <w:rPr>
          <w:rFonts w:ascii="Arial" w:eastAsia="Times New Roman" w:hAnsi="Arial" w:cs="Arial"/>
          <w:i/>
          <w:iCs/>
          <w:lang w:val="en" w:eastAsia="en-GB"/>
        </w:rPr>
        <w:t>.</w:t>
      </w:r>
      <w:r w:rsidR="00016889">
        <w:rPr>
          <w:rFonts w:ascii="Arial" w:eastAsia="Times New Roman" w:hAnsi="Arial" w:cs="Arial"/>
          <w:i/>
          <w:iCs/>
          <w:lang w:val="en" w:eastAsia="en-GB"/>
        </w:rPr>
        <w:t xml:space="preserve"> (See also </w:t>
      </w:r>
      <w:hyperlink r:id="rId6" w:history="1">
        <w:r w:rsidR="00016889">
          <w:rPr>
            <w:rStyle w:val="Hyperlink"/>
            <w:rFonts w:ascii="Arial" w:hAnsi="Arial" w:cs="Arial"/>
            <w:b/>
            <w:bCs/>
            <w:sz w:val="20"/>
            <w:szCs w:val="20"/>
          </w:rPr>
          <w:t>EEF - School Planning Guide 2020-21</w:t>
        </w:r>
      </w:hyperlink>
      <w:r w:rsidR="00016889">
        <w:rPr>
          <w:rFonts w:ascii="Arial" w:hAnsi="Arial" w:cs="Arial"/>
          <w:sz w:val="20"/>
          <w:szCs w:val="20"/>
        </w:rPr>
        <w:t xml:space="preserve"> </w:t>
      </w:r>
      <w:r w:rsidR="00016889" w:rsidRPr="00016889">
        <w:rPr>
          <w:rFonts w:ascii="Arial" w:hAnsi="Arial" w:cs="Arial"/>
          <w:sz w:val="20"/>
          <w:szCs w:val="20"/>
        </w:rPr>
        <w:t>)</w:t>
      </w:r>
    </w:p>
    <w:p w14:paraId="03060E96"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have the flexibility to spend their funding in the best way for their cohort and circumstances.</w:t>
      </w:r>
    </w:p>
    <w:p w14:paraId="519B2F40" w14:textId="77777777" w:rsidR="00B63C74" w:rsidRDefault="00B63C74" w:rsidP="00F31685">
      <w:pPr>
        <w:spacing w:before="100" w:beforeAutospacing="1" w:after="100" w:afterAutospacing="1" w:line="240" w:lineRule="auto"/>
        <w:outlineLvl w:val="1"/>
        <w:rPr>
          <w:rFonts w:ascii="Arial" w:eastAsia="Times New Roman" w:hAnsi="Arial" w:cs="Arial"/>
          <w:b/>
          <w:bCs/>
          <w:i/>
          <w:iCs/>
          <w:lang w:val="en" w:eastAsia="en-GB"/>
        </w:rPr>
      </w:pPr>
    </w:p>
    <w:p w14:paraId="7D966BDE" w14:textId="77777777" w:rsidR="00B63C74" w:rsidRDefault="00B63C74" w:rsidP="00F31685">
      <w:pPr>
        <w:spacing w:before="100" w:beforeAutospacing="1" w:after="100" w:afterAutospacing="1" w:line="240" w:lineRule="auto"/>
        <w:outlineLvl w:val="1"/>
        <w:rPr>
          <w:rFonts w:ascii="Arial" w:eastAsia="Times New Roman" w:hAnsi="Arial" w:cs="Arial"/>
          <w:b/>
          <w:bCs/>
          <w:i/>
          <w:iCs/>
          <w:lang w:val="en" w:eastAsia="en-GB"/>
        </w:rPr>
      </w:pPr>
    </w:p>
    <w:p w14:paraId="558C3B2F" w14:textId="77777777" w:rsidR="00B63C74" w:rsidRDefault="00B63C74" w:rsidP="00F31685">
      <w:pPr>
        <w:spacing w:before="100" w:beforeAutospacing="1" w:after="100" w:afterAutospacing="1" w:line="240" w:lineRule="auto"/>
        <w:outlineLvl w:val="1"/>
        <w:rPr>
          <w:rFonts w:ascii="Arial" w:eastAsia="Times New Roman" w:hAnsi="Arial" w:cs="Arial"/>
          <w:b/>
          <w:bCs/>
          <w:i/>
          <w:iCs/>
          <w:lang w:val="en" w:eastAsia="en-GB"/>
        </w:rPr>
      </w:pPr>
    </w:p>
    <w:p w14:paraId="1A6A5235" w14:textId="0EB51FA8"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lastRenderedPageBreak/>
        <w:t>Accountability and monitoring</w:t>
      </w:r>
    </w:p>
    <w:p w14:paraId="7BE07A31"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7777777" w:rsidR="00F31685" w:rsidRPr="00F31685" w:rsidRDefault="00F31685" w:rsidP="00F31685">
      <w:pPr>
        <w:spacing w:after="0" w:line="240" w:lineRule="auto"/>
        <w:rPr>
          <w:rFonts w:ascii="Arial" w:eastAsia="Times New Roman" w:hAnsi="Arial" w:cs="Arial"/>
          <w:b/>
          <w:bCs/>
          <w:sz w:val="24"/>
          <w:szCs w:val="24"/>
          <w:lang w:val="en" w:eastAsia="en-GB"/>
        </w:rPr>
      </w:pPr>
      <w:r w:rsidRPr="00F31685">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w:t>
      </w:r>
      <w:proofErr w:type="spellStart"/>
      <w:r w:rsidRPr="00F31685">
        <w:rPr>
          <w:rFonts w:ascii="Arial" w:eastAsia="Times New Roman" w:hAnsi="Arial" w:cs="Arial"/>
          <w:i/>
          <w:iCs/>
          <w:lang w:val="en" w:eastAsia="en-GB"/>
        </w:rPr>
        <w:t>scrutinise</w:t>
      </w:r>
      <w:proofErr w:type="spellEnd"/>
      <w:r w:rsidRPr="00F31685">
        <w:rPr>
          <w:rFonts w:ascii="Arial" w:eastAsia="Times New Roman" w:hAnsi="Arial" w:cs="Arial"/>
          <w:i/>
          <w:iCs/>
          <w:lang w:val="en" w:eastAsia="en-GB"/>
        </w:rPr>
        <w:t xml:space="preserve"> schools’ approaches to catch-up from September, including their plans for and use of catch-up funding. This should include consideration of whether schools are spending this funding in line with their catch-up priorities, and ensuring appropriate transparency for parents. </w:t>
      </w:r>
      <w:r w:rsidRPr="00F31685">
        <w:rPr>
          <w:rFonts w:ascii="Arial" w:eastAsia="Times New Roman" w:hAnsi="Arial" w:cs="Arial"/>
          <w:lang w:val="en" w:eastAsia="en-GB"/>
        </w:rPr>
        <w:t>(</w:t>
      </w:r>
      <w:r w:rsidRPr="00F31685">
        <w:rPr>
          <w:rFonts w:ascii="Arial" w:eastAsia="Times New Roman" w:hAnsi="Arial" w:cs="Arial"/>
          <w:b/>
          <w:bCs/>
          <w:sz w:val="24"/>
          <w:szCs w:val="24"/>
          <w:lang w:val="en" w:eastAsia="en-GB"/>
        </w:rPr>
        <w:t xml:space="preserve">DfE guidance - </w:t>
      </w:r>
      <w:r w:rsidRPr="00F31685">
        <w:rPr>
          <w:rFonts w:ascii="Arial" w:eastAsia="Times New Roman" w:hAnsi="Arial" w:cs="Arial"/>
          <w:b/>
          <w:bCs/>
          <w:kern w:val="36"/>
          <w:sz w:val="24"/>
          <w:szCs w:val="24"/>
          <w:lang w:val="en" w:eastAsia="en-GB"/>
        </w:rPr>
        <w:t>Coronavirus (COVID-19) catch-up premium - updated 24/08/2020)</w:t>
      </w:r>
    </w:p>
    <w:bookmarkEnd w:id="0"/>
    <w:p w14:paraId="222AA1F6" w14:textId="57BE1D75" w:rsidR="00F31685" w:rsidRDefault="00F31685">
      <w:pPr>
        <w:rPr>
          <w:rFonts w:ascii="Arial" w:hAnsi="Arial" w:cs="Arial"/>
          <w:b/>
          <w:bCs/>
          <w:sz w:val="20"/>
          <w:szCs w:val="20"/>
          <w:u w:val="single"/>
        </w:rPr>
      </w:pPr>
    </w:p>
    <w:p w14:paraId="5ED77663" w14:textId="77777777" w:rsidR="00016889" w:rsidRDefault="00016889">
      <w:pPr>
        <w:rPr>
          <w:b/>
          <w:bCs/>
          <w:sz w:val="20"/>
          <w:szCs w:val="20"/>
          <w:u w:val="single"/>
        </w:rPr>
      </w:pPr>
    </w:p>
    <w:p w14:paraId="6871E529" w14:textId="4FF0AADB" w:rsidR="00D23E1D" w:rsidRPr="00D049FC" w:rsidRDefault="00D23E1D">
      <w:pPr>
        <w:rPr>
          <w:b/>
          <w:bCs/>
          <w:sz w:val="28"/>
          <w:szCs w:val="28"/>
          <w:u w:val="single"/>
        </w:rPr>
      </w:pPr>
      <w:r w:rsidRPr="00D049FC">
        <w:rPr>
          <w:b/>
          <w:bCs/>
          <w:sz w:val="28"/>
          <w:szCs w:val="28"/>
          <w:u w:val="single"/>
        </w:rPr>
        <w:t>School Overview</w:t>
      </w:r>
    </w:p>
    <w:tbl>
      <w:tblPr>
        <w:tblW w:w="6946" w:type="dxa"/>
        <w:tblInd w:w="-5" w:type="dxa"/>
        <w:tblCellMar>
          <w:left w:w="10" w:type="dxa"/>
          <w:right w:w="10" w:type="dxa"/>
        </w:tblCellMar>
        <w:tblLook w:val="04A0" w:firstRow="1" w:lastRow="0" w:firstColumn="1" w:lastColumn="0" w:noHBand="0" w:noVBand="1"/>
      </w:tblPr>
      <w:tblGrid>
        <w:gridCol w:w="4793"/>
        <w:gridCol w:w="2153"/>
      </w:tblGrid>
      <w:tr w:rsidR="00D23E1D" w:rsidRPr="00D23E1D" w14:paraId="0D8E56F0"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4F453150" w:rsidR="00D23E1D" w:rsidRPr="00D23E1D" w:rsidRDefault="00D23E1D" w:rsidP="007F3934">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w:t>
            </w:r>
            <w:r w:rsidR="007F3934">
              <w:rPr>
                <w:rFonts w:eastAsia="Times New Roman" w:cstheme="minorHAnsi"/>
                <w:color w:val="0D0D0D"/>
                <w:lang w:eastAsia="en-GB"/>
              </w:rPr>
              <w:t>11</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4F02B565" w:rsidR="00D23E1D" w:rsidRPr="00D23E1D" w:rsidRDefault="0009166D"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90</w:t>
            </w:r>
          </w:p>
        </w:tc>
      </w:tr>
      <w:tr w:rsidR="00D23E1D" w:rsidRPr="00D23E1D" w14:paraId="6B3A87EF"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disadvantaged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20B3E6AB" w:rsidR="00D23E1D" w:rsidRPr="00D23E1D" w:rsidRDefault="003D2134" w:rsidP="003D2134">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54%</w:t>
            </w:r>
          </w:p>
        </w:tc>
      </w:tr>
      <w:tr w:rsidR="00D23E1D" w:rsidRPr="00D23E1D" w14:paraId="10F7A615"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541AB282" w:rsidR="00D23E1D" w:rsidRPr="00D23E1D" w:rsidRDefault="0009166D"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£21,600</w:t>
            </w:r>
          </w:p>
        </w:tc>
      </w:tr>
      <w:tr w:rsidR="00D23E1D" w:rsidRPr="00D23E1D" w14:paraId="5F54634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82CA" w14:textId="1B870D56" w:rsidR="00D23E1D" w:rsidRPr="00D23E1D" w:rsidRDefault="003D2134"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13</w:t>
            </w:r>
            <w:r w:rsidRPr="003D2134">
              <w:rPr>
                <w:rFonts w:eastAsia="Times New Roman" w:cstheme="minorHAnsi"/>
                <w:color w:val="0D0D0D"/>
                <w:vertAlign w:val="superscript"/>
                <w:lang w:eastAsia="en-GB"/>
              </w:rPr>
              <w:t>th</w:t>
            </w:r>
            <w:r>
              <w:rPr>
                <w:rFonts w:eastAsia="Times New Roman" w:cstheme="minorHAnsi"/>
                <w:color w:val="0D0D0D"/>
                <w:lang w:eastAsia="en-GB"/>
              </w:rPr>
              <w:t xml:space="preserve"> October 2020</w:t>
            </w:r>
          </w:p>
        </w:tc>
      </w:tr>
      <w:tr w:rsidR="00D23E1D" w:rsidRPr="00D23E1D" w14:paraId="08747CE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01CFA" w14:textId="5A50E204" w:rsidR="00D23E1D" w:rsidRPr="00D23E1D" w:rsidRDefault="003D2134"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Termly</w:t>
            </w:r>
          </w:p>
        </w:tc>
      </w:tr>
      <w:tr w:rsidR="00D23E1D" w:rsidRPr="00D23E1D" w14:paraId="3707A38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6A0583B3" w:rsidR="00D23E1D" w:rsidRPr="00D23E1D" w:rsidRDefault="003D2134"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 Bowe</w:t>
            </w:r>
          </w:p>
        </w:tc>
      </w:tr>
      <w:tr w:rsidR="00D23E1D" w:rsidRPr="00D23E1D" w14:paraId="0587C537"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718714C9" w:rsidR="00D23E1D" w:rsidRPr="00D23E1D" w:rsidRDefault="003D2134"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A Bell</w:t>
            </w:r>
          </w:p>
        </w:tc>
      </w:tr>
    </w:tbl>
    <w:p w14:paraId="1F53741B" w14:textId="66354EEA" w:rsidR="002F799F" w:rsidRPr="007772CC" w:rsidRDefault="002F799F">
      <w:pPr>
        <w:rPr>
          <w:color w:val="FF0000"/>
          <w:sz w:val="28"/>
          <w:szCs w:val="28"/>
        </w:rPr>
      </w:pPr>
      <w:r w:rsidRPr="002F799F">
        <w:rPr>
          <w:b/>
          <w:bCs/>
          <w:sz w:val="28"/>
          <w:szCs w:val="28"/>
          <w:u w:val="single"/>
        </w:rPr>
        <w:t xml:space="preserve">Context </w:t>
      </w:r>
      <w:r>
        <w:rPr>
          <w:b/>
          <w:bCs/>
          <w:sz w:val="28"/>
          <w:szCs w:val="28"/>
          <w:u w:val="single"/>
        </w:rPr>
        <w:t>of the school</w:t>
      </w:r>
      <w:r w:rsidRPr="002F799F">
        <w:rPr>
          <w:b/>
          <w:bCs/>
          <w:sz w:val="28"/>
          <w:szCs w:val="28"/>
          <w:u w:val="single"/>
        </w:rPr>
        <w:t xml:space="preserve"> </w:t>
      </w:r>
      <w:r w:rsidR="002E3AF6">
        <w:rPr>
          <w:b/>
          <w:bCs/>
          <w:sz w:val="28"/>
          <w:szCs w:val="28"/>
          <w:u w:val="single"/>
        </w:rPr>
        <w:t>and rationale for the strategy</w:t>
      </w:r>
      <w:r w:rsidR="007772CC">
        <w:rPr>
          <w:sz w:val="28"/>
          <w:szCs w:val="28"/>
        </w:rPr>
        <w:t xml:space="preserve"> </w:t>
      </w:r>
    </w:p>
    <w:tbl>
      <w:tblPr>
        <w:tblStyle w:val="TableGrid"/>
        <w:tblW w:w="0" w:type="auto"/>
        <w:tblLook w:val="04A0" w:firstRow="1" w:lastRow="0" w:firstColumn="1" w:lastColumn="0" w:noHBand="0" w:noVBand="1"/>
      </w:tblPr>
      <w:tblGrid>
        <w:gridCol w:w="13948"/>
      </w:tblGrid>
      <w:tr w:rsidR="002F799F" w14:paraId="235FFF99" w14:textId="77777777" w:rsidTr="002F799F">
        <w:tc>
          <w:tcPr>
            <w:tcW w:w="14275" w:type="dxa"/>
          </w:tcPr>
          <w:p w14:paraId="7723D920" w14:textId="71BFA86D" w:rsidR="003D2134" w:rsidRPr="003D2134" w:rsidRDefault="003D2134" w:rsidP="00D473BD">
            <w:pPr>
              <w:pStyle w:val="ListParagraph"/>
              <w:numPr>
                <w:ilvl w:val="0"/>
                <w:numId w:val="3"/>
              </w:numPr>
              <w:rPr>
                <w:rFonts w:ascii="Arial" w:hAnsi="Arial" w:cs="Arial"/>
                <w:iCs/>
              </w:rPr>
            </w:pPr>
            <w:r w:rsidRPr="003D2134">
              <w:rPr>
                <w:rFonts w:ascii="Arial" w:hAnsi="Arial" w:cs="Arial"/>
                <w:iCs/>
              </w:rPr>
              <w:t>100% pupils have EHCP for Special Educational Needs</w:t>
            </w:r>
          </w:p>
          <w:p w14:paraId="60AD576E" w14:textId="1DAC72CD" w:rsidR="003D2134" w:rsidRPr="003D2134" w:rsidRDefault="003D2134" w:rsidP="00D473BD">
            <w:pPr>
              <w:pStyle w:val="ListParagraph"/>
              <w:numPr>
                <w:ilvl w:val="0"/>
                <w:numId w:val="3"/>
              </w:numPr>
              <w:rPr>
                <w:rFonts w:ascii="Arial" w:hAnsi="Arial" w:cs="Arial"/>
                <w:iCs/>
              </w:rPr>
            </w:pPr>
            <w:r w:rsidRPr="003D2134">
              <w:rPr>
                <w:rFonts w:ascii="Arial" w:hAnsi="Arial" w:cs="Arial"/>
                <w:iCs/>
              </w:rPr>
              <w:t>54% are disadvantaged</w:t>
            </w:r>
          </w:p>
          <w:p w14:paraId="7BBCD485" w14:textId="4F210BF3" w:rsidR="003D2134" w:rsidRPr="003D2134" w:rsidRDefault="003D2134" w:rsidP="00D473BD">
            <w:pPr>
              <w:pStyle w:val="ListParagraph"/>
              <w:numPr>
                <w:ilvl w:val="0"/>
                <w:numId w:val="3"/>
              </w:numPr>
              <w:rPr>
                <w:rFonts w:ascii="Arial" w:hAnsi="Arial" w:cs="Arial"/>
                <w:iCs/>
              </w:rPr>
            </w:pPr>
            <w:r w:rsidRPr="003D2134">
              <w:rPr>
                <w:rFonts w:ascii="Arial" w:hAnsi="Arial" w:cs="Arial"/>
                <w:iCs/>
              </w:rPr>
              <w:t>40% pupils attended on a rota during Lockdown from prioritised year groups, LAC and CIN categories</w:t>
            </w:r>
          </w:p>
          <w:p w14:paraId="3FC5136A" w14:textId="66A7E946" w:rsidR="00BC6D55" w:rsidRPr="003D2134" w:rsidRDefault="003D2134" w:rsidP="0009166D">
            <w:pPr>
              <w:pStyle w:val="ListParagraph"/>
              <w:numPr>
                <w:ilvl w:val="0"/>
                <w:numId w:val="3"/>
              </w:numPr>
              <w:rPr>
                <w:rFonts w:ascii="Arial" w:hAnsi="Arial" w:cs="Arial"/>
              </w:rPr>
            </w:pPr>
            <w:r w:rsidRPr="003D2134">
              <w:rPr>
                <w:rFonts w:ascii="Arial" w:hAnsi="Arial" w:cs="Arial"/>
                <w:iCs/>
              </w:rPr>
              <w:t>All pupils baselined upon re-entry to school in September 2020.</w:t>
            </w:r>
          </w:p>
          <w:p w14:paraId="5FE305BD" w14:textId="6304873D" w:rsidR="002E3AF6" w:rsidRPr="002E3AF6" w:rsidRDefault="002E3AF6" w:rsidP="002E3AF6">
            <w:pPr>
              <w:rPr>
                <w:rFonts w:ascii="Arial" w:hAnsi="Arial" w:cs="Arial"/>
                <w:color w:val="FF0000"/>
              </w:rPr>
            </w:pPr>
          </w:p>
        </w:tc>
      </w:tr>
    </w:tbl>
    <w:p w14:paraId="1DFC1D65" w14:textId="77777777" w:rsidR="00B63C74" w:rsidRDefault="00B63C74" w:rsidP="002A735D">
      <w:pPr>
        <w:spacing w:after="0"/>
        <w:rPr>
          <w:b/>
          <w:bCs/>
          <w:sz w:val="28"/>
          <w:szCs w:val="28"/>
          <w:u w:val="single"/>
        </w:rPr>
      </w:pPr>
    </w:p>
    <w:p w14:paraId="0209D4E6" w14:textId="7FC75B07" w:rsidR="00866C83" w:rsidRPr="00FD3A67" w:rsidRDefault="00866C83" w:rsidP="002A735D">
      <w:pPr>
        <w:spacing w:after="0"/>
        <w:rPr>
          <w:color w:val="FF0000"/>
          <w:sz w:val="28"/>
          <w:szCs w:val="28"/>
        </w:rPr>
      </w:pPr>
      <w:r w:rsidRPr="008A1D5F">
        <w:rPr>
          <w:b/>
          <w:bCs/>
          <w:sz w:val="28"/>
          <w:szCs w:val="28"/>
          <w:u w:val="single"/>
        </w:rPr>
        <w:lastRenderedPageBreak/>
        <w:t>Barriers to future attainment</w:t>
      </w:r>
      <w:r w:rsidR="00FD3A67">
        <w:rPr>
          <w:sz w:val="28"/>
          <w:szCs w:val="28"/>
        </w:rPr>
        <w:t xml:space="preserve"> </w:t>
      </w:r>
    </w:p>
    <w:tbl>
      <w:tblPr>
        <w:tblStyle w:val="TableGrid"/>
        <w:tblW w:w="0" w:type="auto"/>
        <w:tblInd w:w="5" w:type="dxa"/>
        <w:tblLook w:val="04A0" w:firstRow="1" w:lastRow="0" w:firstColumn="1" w:lastColumn="0" w:noHBand="0" w:noVBand="1"/>
      </w:tblPr>
      <w:tblGrid>
        <w:gridCol w:w="1129"/>
        <w:gridCol w:w="426"/>
        <w:gridCol w:w="3685"/>
        <w:gridCol w:w="3776"/>
      </w:tblGrid>
      <w:tr w:rsidR="00866C83" w14:paraId="378146CC" w14:textId="77777777" w:rsidTr="00186830">
        <w:tc>
          <w:tcPr>
            <w:tcW w:w="1555" w:type="dxa"/>
            <w:gridSpan w:val="2"/>
            <w:tcBorders>
              <w:top w:val="nil"/>
              <w:left w:val="nil"/>
            </w:tcBorders>
          </w:tcPr>
          <w:p w14:paraId="4E393DB7" w14:textId="77777777" w:rsidR="00866C83" w:rsidRDefault="00866C83"/>
        </w:tc>
        <w:tc>
          <w:tcPr>
            <w:tcW w:w="3685" w:type="dxa"/>
          </w:tcPr>
          <w:p w14:paraId="05017E3D" w14:textId="77777777" w:rsidR="00866C83" w:rsidRPr="00186830" w:rsidRDefault="00186830">
            <w:pPr>
              <w:rPr>
                <w:b/>
                <w:bCs/>
              </w:rPr>
            </w:pPr>
            <w:r w:rsidRPr="00186830">
              <w:rPr>
                <w:b/>
                <w:bCs/>
              </w:rPr>
              <w:t>Barrier</w:t>
            </w:r>
          </w:p>
        </w:tc>
        <w:tc>
          <w:tcPr>
            <w:tcW w:w="3776" w:type="dxa"/>
          </w:tcPr>
          <w:p w14:paraId="25548BBB" w14:textId="77777777" w:rsidR="00866C83" w:rsidRPr="00186830" w:rsidRDefault="00186830">
            <w:pPr>
              <w:rPr>
                <w:b/>
                <w:bCs/>
              </w:rPr>
            </w:pPr>
            <w:r w:rsidRPr="00186830">
              <w:rPr>
                <w:b/>
                <w:bCs/>
              </w:rPr>
              <w:t>Desired outcome</w:t>
            </w:r>
          </w:p>
        </w:tc>
      </w:tr>
      <w:tr w:rsidR="00C50CC3" w14:paraId="60C0E223" w14:textId="77777777" w:rsidTr="0037565D">
        <w:trPr>
          <w:trHeight w:val="357"/>
        </w:trPr>
        <w:tc>
          <w:tcPr>
            <w:tcW w:w="1129" w:type="dxa"/>
            <w:vMerge w:val="restart"/>
            <w:shd w:val="clear" w:color="auto" w:fill="DEEAF6" w:themeFill="accent5" w:themeFillTint="33"/>
            <w:textDirection w:val="btLr"/>
          </w:tcPr>
          <w:p w14:paraId="7585CCFC" w14:textId="77777777" w:rsidR="00C50CC3" w:rsidRPr="00186830" w:rsidRDefault="00C50CC3" w:rsidP="0037565D">
            <w:pPr>
              <w:ind w:left="113" w:right="113"/>
              <w:jc w:val="center"/>
              <w:rPr>
                <w:b/>
                <w:bCs/>
              </w:rPr>
            </w:pPr>
            <w:proofErr w:type="spellStart"/>
            <w:r>
              <w:rPr>
                <w:b/>
                <w:bCs/>
              </w:rPr>
              <w:t>Teachiing</w:t>
            </w:r>
            <w:proofErr w:type="spellEnd"/>
            <w:r>
              <w:rPr>
                <w:b/>
                <w:bCs/>
              </w:rPr>
              <w:t xml:space="preserve"> priorities</w:t>
            </w:r>
          </w:p>
        </w:tc>
        <w:tc>
          <w:tcPr>
            <w:tcW w:w="426" w:type="dxa"/>
            <w:shd w:val="clear" w:color="auto" w:fill="DEEAF6" w:themeFill="accent5" w:themeFillTint="33"/>
          </w:tcPr>
          <w:p w14:paraId="2915C753" w14:textId="77777777" w:rsidR="00C50CC3" w:rsidRPr="00186830" w:rsidRDefault="00C50CC3">
            <w:pPr>
              <w:rPr>
                <w:b/>
                <w:bCs/>
              </w:rPr>
            </w:pPr>
            <w:r w:rsidRPr="00186830">
              <w:rPr>
                <w:b/>
                <w:bCs/>
              </w:rPr>
              <w:t>A</w:t>
            </w:r>
          </w:p>
        </w:tc>
        <w:tc>
          <w:tcPr>
            <w:tcW w:w="3685" w:type="dxa"/>
          </w:tcPr>
          <w:p w14:paraId="438C84A8" w14:textId="2EC28F08" w:rsidR="00C50CC3" w:rsidRPr="0009166D" w:rsidRDefault="0030097D" w:rsidP="0009166D">
            <w:r w:rsidRPr="0009166D">
              <w:t xml:space="preserve">Staff require CPD to develop a greater understanding of </w:t>
            </w:r>
            <w:r w:rsidR="0009166D" w:rsidRPr="0009166D">
              <w:t>Thinking School climate for learning</w:t>
            </w:r>
          </w:p>
        </w:tc>
        <w:tc>
          <w:tcPr>
            <w:tcW w:w="3776" w:type="dxa"/>
          </w:tcPr>
          <w:p w14:paraId="00CA0224" w14:textId="01509E14" w:rsidR="00852940" w:rsidRPr="0009166D" w:rsidRDefault="0030097D" w:rsidP="0009166D">
            <w:r w:rsidRPr="0009166D">
              <w:t>Staff are better informed and have greater clarity about how to support children with</w:t>
            </w:r>
            <w:r w:rsidR="0009166D" w:rsidRPr="0009166D">
              <w:t xml:space="preserve"> thinking skills</w:t>
            </w:r>
            <w:r w:rsidRPr="0009166D">
              <w:t xml:space="preserve">. </w:t>
            </w:r>
            <w:r w:rsidR="0009166D" w:rsidRPr="0009166D">
              <w:t>T</w:t>
            </w:r>
            <w:r w:rsidRPr="0009166D">
              <w:t>his is a focus of daily/ weekly teac</w:t>
            </w:r>
            <w:r w:rsidR="00B12C06" w:rsidRPr="0009166D">
              <w:t>h</w:t>
            </w:r>
            <w:r w:rsidRPr="0009166D">
              <w:t xml:space="preserve">ing in the </w:t>
            </w:r>
            <w:r w:rsidR="0009166D" w:rsidRPr="0009166D">
              <w:t>coming year.</w:t>
            </w:r>
          </w:p>
        </w:tc>
      </w:tr>
      <w:tr w:rsidR="0009166D" w14:paraId="00B57608" w14:textId="77777777" w:rsidTr="00B63C74">
        <w:trPr>
          <w:trHeight w:val="865"/>
        </w:trPr>
        <w:tc>
          <w:tcPr>
            <w:tcW w:w="1129" w:type="dxa"/>
            <w:vMerge/>
            <w:shd w:val="clear" w:color="auto" w:fill="DEEAF6" w:themeFill="accent5" w:themeFillTint="33"/>
            <w:textDirection w:val="btLr"/>
          </w:tcPr>
          <w:p w14:paraId="62B0485B" w14:textId="77777777" w:rsidR="0009166D" w:rsidRPr="00186830" w:rsidRDefault="0009166D" w:rsidP="0009166D">
            <w:pPr>
              <w:ind w:left="113" w:right="113"/>
              <w:rPr>
                <w:b/>
                <w:bCs/>
              </w:rPr>
            </w:pPr>
          </w:p>
        </w:tc>
        <w:tc>
          <w:tcPr>
            <w:tcW w:w="426" w:type="dxa"/>
            <w:shd w:val="clear" w:color="auto" w:fill="DEEAF6" w:themeFill="accent5" w:themeFillTint="33"/>
          </w:tcPr>
          <w:p w14:paraId="1FD4C917" w14:textId="77777777" w:rsidR="0009166D" w:rsidRPr="00186830" w:rsidRDefault="0009166D" w:rsidP="0009166D">
            <w:pPr>
              <w:rPr>
                <w:b/>
                <w:bCs/>
              </w:rPr>
            </w:pPr>
            <w:r w:rsidRPr="00186830">
              <w:rPr>
                <w:b/>
                <w:bCs/>
              </w:rPr>
              <w:t>B</w:t>
            </w:r>
          </w:p>
        </w:tc>
        <w:tc>
          <w:tcPr>
            <w:tcW w:w="3685" w:type="dxa"/>
          </w:tcPr>
          <w:p w14:paraId="41333EC3" w14:textId="502A9D39" w:rsidR="0009166D" w:rsidRPr="0009166D" w:rsidRDefault="0009166D" w:rsidP="0009166D">
            <w:r w:rsidRPr="0009166D">
              <w:t>Staff require CPD to develop a greater understanding of teaching ICT including remotely utilising new resources such as Purple Mash</w:t>
            </w:r>
          </w:p>
        </w:tc>
        <w:tc>
          <w:tcPr>
            <w:tcW w:w="3776" w:type="dxa"/>
          </w:tcPr>
          <w:p w14:paraId="65FB9CA6" w14:textId="55BB233E" w:rsidR="0009166D" w:rsidRPr="0009166D" w:rsidRDefault="0009166D" w:rsidP="0009166D">
            <w:r w:rsidRPr="0009166D">
              <w:t>Staff are better informed and have greater clarity about how to support children with ICT skills. This is a focus of daily/ weekly teaching in the coming year and of blended/remote teaching.</w:t>
            </w:r>
          </w:p>
        </w:tc>
      </w:tr>
      <w:tr w:rsidR="00483742" w14:paraId="4CC89C20" w14:textId="77777777" w:rsidTr="00B63C74">
        <w:trPr>
          <w:cantSplit/>
          <w:trHeight w:val="1475"/>
        </w:trPr>
        <w:tc>
          <w:tcPr>
            <w:tcW w:w="1129" w:type="dxa"/>
            <w:tcBorders>
              <w:top w:val="double" w:sz="4" w:space="0" w:color="auto"/>
            </w:tcBorders>
            <w:shd w:val="clear" w:color="auto" w:fill="FFF2CC" w:themeFill="accent4" w:themeFillTint="33"/>
            <w:textDirection w:val="btLr"/>
          </w:tcPr>
          <w:p w14:paraId="138C21B4" w14:textId="77777777" w:rsidR="00483742" w:rsidRPr="00186830" w:rsidRDefault="00483742" w:rsidP="00186830">
            <w:pPr>
              <w:ind w:left="113" w:right="113"/>
              <w:rPr>
                <w:b/>
                <w:bCs/>
              </w:rPr>
            </w:pPr>
            <w:r>
              <w:rPr>
                <w:b/>
                <w:bCs/>
              </w:rPr>
              <w:t>Targeted academic support</w:t>
            </w:r>
          </w:p>
        </w:tc>
        <w:tc>
          <w:tcPr>
            <w:tcW w:w="426" w:type="dxa"/>
            <w:tcBorders>
              <w:top w:val="double" w:sz="4" w:space="0" w:color="auto"/>
            </w:tcBorders>
            <w:shd w:val="clear" w:color="auto" w:fill="FFF2CC" w:themeFill="accent4" w:themeFillTint="33"/>
          </w:tcPr>
          <w:p w14:paraId="01F5C48C" w14:textId="77777777" w:rsidR="00483742" w:rsidRPr="00186830" w:rsidRDefault="00D473BD">
            <w:pPr>
              <w:rPr>
                <w:b/>
                <w:bCs/>
              </w:rPr>
            </w:pPr>
            <w:r>
              <w:rPr>
                <w:b/>
                <w:bCs/>
              </w:rPr>
              <w:t>D</w:t>
            </w:r>
          </w:p>
        </w:tc>
        <w:tc>
          <w:tcPr>
            <w:tcW w:w="3685" w:type="dxa"/>
            <w:tcBorders>
              <w:top w:val="double" w:sz="4" w:space="0" w:color="auto"/>
            </w:tcBorders>
          </w:tcPr>
          <w:p w14:paraId="4C81CD48" w14:textId="34881B35" w:rsidR="00483742" w:rsidRPr="0009166D" w:rsidRDefault="0027285F" w:rsidP="0009166D">
            <w:r w:rsidRPr="0009166D">
              <w:t>Only a small proportion of pupils (</w:t>
            </w:r>
            <w:r w:rsidR="0030097D" w:rsidRPr="0009166D">
              <w:t xml:space="preserve">approx. </w:t>
            </w:r>
            <w:r w:rsidRPr="0009166D">
              <w:t xml:space="preserve">30%) engaged with the online learning materials provided for </w:t>
            </w:r>
            <w:r w:rsidR="0009166D" w:rsidRPr="0009166D">
              <w:t xml:space="preserve">ICT </w:t>
            </w:r>
            <w:r w:rsidR="0030097D" w:rsidRPr="0009166D">
              <w:t>during the summer term.</w:t>
            </w:r>
            <w:r w:rsidR="009254E2" w:rsidRPr="0009166D">
              <w:t xml:space="preserve"> This has resulted in some pupils working well below ARE.</w:t>
            </w:r>
          </w:p>
        </w:tc>
        <w:tc>
          <w:tcPr>
            <w:tcW w:w="3776" w:type="dxa"/>
            <w:tcBorders>
              <w:top w:val="double" w:sz="4" w:space="0" w:color="auto"/>
            </w:tcBorders>
          </w:tcPr>
          <w:p w14:paraId="2AAD1342" w14:textId="62BE3E3C" w:rsidR="00483742" w:rsidRPr="0009166D" w:rsidRDefault="0030097D" w:rsidP="0009166D">
            <w:r w:rsidRPr="0009166D">
              <w:t xml:space="preserve">Pupils make accelerated progress in </w:t>
            </w:r>
            <w:r w:rsidR="0009166D" w:rsidRPr="0009166D">
              <w:t>ICT</w:t>
            </w:r>
            <w:r w:rsidRPr="0009166D">
              <w:t xml:space="preserve"> from their starting points at the beginning of the autumn term.</w:t>
            </w:r>
          </w:p>
        </w:tc>
      </w:tr>
      <w:tr w:rsidR="0027285F" w14:paraId="75027A5C" w14:textId="77777777" w:rsidTr="00B63C74">
        <w:trPr>
          <w:cantSplit/>
          <w:trHeight w:val="1521"/>
        </w:trPr>
        <w:tc>
          <w:tcPr>
            <w:tcW w:w="1129" w:type="dxa"/>
            <w:shd w:val="clear" w:color="auto" w:fill="E2EFD9" w:themeFill="accent6" w:themeFillTint="33"/>
            <w:textDirection w:val="btLr"/>
          </w:tcPr>
          <w:p w14:paraId="2B9BA9A6" w14:textId="77777777" w:rsidR="0027285F" w:rsidRPr="006866D4" w:rsidRDefault="0027285F" w:rsidP="0027285F">
            <w:pPr>
              <w:ind w:left="113" w:right="113"/>
              <w:jc w:val="center"/>
              <w:rPr>
                <w:b/>
                <w:bCs/>
              </w:rPr>
            </w:pPr>
            <w:r w:rsidRPr="006866D4">
              <w:rPr>
                <w:b/>
                <w:bCs/>
              </w:rPr>
              <w:t>Wider</w:t>
            </w:r>
            <w:r>
              <w:rPr>
                <w:b/>
                <w:bCs/>
              </w:rPr>
              <w:t xml:space="preserve">  Strategies</w:t>
            </w:r>
          </w:p>
        </w:tc>
        <w:tc>
          <w:tcPr>
            <w:tcW w:w="426" w:type="dxa"/>
            <w:shd w:val="clear" w:color="auto" w:fill="E2EFD9" w:themeFill="accent6" w:themeFillTint="33"/>
          </w:tcPr>
          <w:p w14:paraId="0DC7FFC1" w14:textId="77777777" w:rsidR="0027285F" w:rsidRPr="00186830" w:rsidRDefault="00D473BD" w:rsidP="0027285F">
            <w:pPr>
              <w:rPr>
                <w:b/>
                <w:bCs/>
              </w:rPr>
            </w:pPr>
            <w:r>
              <w:rPr>
                <w:b/>
                <w:bCs/>
              </w:rPr>
              <w:t>G</w:t>
            </w:r>
          </w:p>
        </w:tc>
        <w:tc>
          <w:tcPr>
            <w:tcW w:w="3685" w:type="dxa"/>
          </w:tcPr>
          <w:p w14:paraId="4CAB364D" w14:textId="777B16E5" w:rsidR="0027285F" w:rsidRPr="0009166D" w:rsidRDefault="0009166D" w:rsidP="0009166D">
            <w:r w:rsidRPr="0009166D">
              <w:t>Online safety is a greater priority due to remote/blended teaching offers.</w:t>
            </w:r>
          </w:p>
        </w:tc>
        <w:tc>
          <w:tcPr>
            <w:tcW w:w="3776" w:type="dxa"/>
          </w:tcPr>
          <w:p w14:paraId="5F4F01BC" w14:textId="1DB0388D" w:rsidR="0027285F" w:rsidRPr="0009166D" w:rsidRDefault="0009166D" w:rsidP="0009166D">
            <w:r w:rsidRPr="0009166D">
              <w:t>All pupils have increased awareness of how to keep themselves safe online.</w:t>
            </w:r>
          </w:p>
        </w:tc>
      </w:tr>
    </w:tbl>
    <w:p w14:paraId="6049BEC3" w14:textId="77777777" w:rsidR="00866C83" w:rsidRDefault="00866C83"/>
    <w:p w14:paraId="082825DF" w14:textId="77777777" w:rsidR="003B3E5E" w:rsidRDefault="003B3E5E"/>
    <w:p w14:paraId="07418620" w14:textId="77777777" w:rsidR="003B3E5E" w:rsidRDefault="003B3E5E"/>
    <w:p w14:paraId="77C3303F" w14:textId="77777777" w:rsidR="003B3E5E" w:rsidRDefault="003B3E5E"/>
    <w:p w14:paraId="349EC825" w14:textId="77777777" w:rsidR="002D7D88" w:rsidRDefault="002D7D88"/>
    <w:p w14:paraId="4A711646" w14:textId="661B7780" w:rsidR="00186830" w:rsidRPr="00C64FEE" w:rsidRDefault="00C64FEE" w:rsidP="00C64FEE">
      <w:pPr>
        <w:rPr>
          <w:b/>
          <w:bCs/>
          <w:sz w:val="28"/>
          <w:szCs w:val="28"/>
        </w:rPr>
      </w:pPr>
      <w:r w:rsidRPr="008A1D5F">
        <w:rPr>
          <w:b/>
          <w:bCs/>
          <w:sz w:val="28"/>
          <w:szCs w:val="28"/>
          <w:u w:val="single"/>
        </w:rPr>
        <w:lastRenderedPageBreak/>
        <w:t>Teaching priorities for current academic year</w:t>
      </w:r>
      <w:r>
        <w:rPr>
          <w:b/>
          <w:bCs/>
          <w:sz w:val="28"/>
          <w:szCs w:val="28"/>
        </w:rPr>
        <w:t xml:space="preserve"> </w:t>
      </w:r>
    </w:p>
    <w:tbl>
      <w:tblPr>
        <w:tblStyle w:val="TableGrid"/>
        <w:tblW w:w="14312" w:type="dxa"/>
        <w:tblLook w:val="04A0" w:firstRow="1" w:lastRow="0" w:firstColumn="1" w:lastColumn="0" w:noHBand="0" w:noVBand="1"/>
      </w:tblPr>
      <w:tblGrid>
        <w:gridCol w:w="849"/>
        <w:gridCol w:w="1891"/>
        <w:gridCol w:w="1694"/>
        <w:gridCol w:w="1950"/>
        <w:gridCol w:w="1257"/>
        <w:gridCol w:w="1572"/>
        <w:gridCol w:w="2102"/>
        <w:gridCol w:w="2997"/>
      </w:tblGrid>
      <w:tr w:rsidR="00317761" w14:paraId="5DF5FDD1" w14:textId="77777777" w:rsidTr="00B81B67">
        <w:tc>
          <w:tcPr>
            <w:tcW w:w="849" w:type="dxa"/>
          </w:tcPr>
          <w:p w14:paraId="6F70454E" w14:textId="77777777" w:rsidR="00ED1301" w:rsidRPr="006866D4" w:rsidRDefault="00ED1301" w:rsidP="00ED1301">
            <w:pPr>
              <w:jc w:val="center"/>
              <w:rPr>
                <w:b/>
                <w:bCs/>
              </w:rPr>
            </w:pPr>
            <w:bookmarkStart w:id="1" w:name="_Hlk31801249"/>
            <w:r w:rsidRPr="006866D4">
              <w:rPr>
                <w:b/>
                <w:bCs/>
              </w:rPr>
              <w:t>Barrier</w:t>
            </w:r>
          </w:p>
        </w:tc>
        <w:tc>
          <w:tcPr>
            <w:tcW w:w="1891" w:type="dxa"/>
          </w:tcPr>
          <w:p w14:paraId="411FC549" w14:textId="77777777" w:rsidR="00ED1301" w:rsidRPr="006866D4" w:rsidRDefault="00ED1301" w:rsidP="00ED1301">
            <w:pPr>
              <w:jc w:val="center"/>
              <w:rPr>
                <w:b/>
                <w:bCs/>
              </w:rPr>
            </w:pPr>
            <w:r>
              <w:rPr>
                <w:b/>
                <w:bCs/>
              </w:rPr>
              <w:t>Action</w:t>
            </w:r>
          </w:p>
        </w:tc>
        <w:tc>
          <w:tcPr>
            <w:tcW w:w="1694" w:type="dxa"/>
          </w:tcPr>
          <w:p w14:paraId="7AE05669" w14:textId="77777777" w:rsidR="00ED1301" w:rsidRPr="006866D4" w:rsidRDefault="00ED1301" w:rsidP="00ED1301">
            <w:pPr>
              <w:jc w:val="center"/>
              <w:rPr>
                <w:b/>
                <w:bCs/>
              </w:rPr>
            </w:pPr>
            <w:r w:rsidRPr="006866D4">
              <w:rPr>
                <w:b/>
                <w:bCs/>
              </w:rPr>
              <w:t>Desired outcome</w:t>
            </w:r>
          </w:p>
        </w:tc>
        <w:tc>
          <w:tcPr>
            <w:tcW w:w="1950" w:type="dxa"/>
          </w:tcPr>
          <w:p w14:paraId="0B5FF2A2" w14:textId="77777777" w:rsidR="00ED1301" w:rsidRPr="006866D4" w:rsidRDefault="00ED1301" w:rsidP="00ED1301">
            <w:pPr>
              <w:jc w:val="center"/>
              <w:rPr>
                <w:b/>
                <w:bCs/>
              </w:rPr>
            </w:pPr>
            <w:r w:rsidRPr="006866D4">
              <w:rPr>
                <w:b/>
                <w:bCs/>
              </w:rPr>
              <w:t>Evidence source</w:t>
            </w:r>
          </w:p>
        </w:tc>
        <w:tc>
          <w:tcPr>
            <w:tcW w:w="1257" w:type="dxa"/>
          </w:tcPr>
          <w:p w14:paraId="7AEBE752" w14:textId="77777777" w:rsidR="00ED1301" w:rsidRPr="006866D4" w:rsidRDefault="00ED1301" w:rsidP="00ED1301">
            <w:pPr>
              <w:jc w:val="center"/>
              <w:rPr>
                <w:b/>
                <w:bCs/>
              </w:rPr>
            </w:pPr>
            <w:r w:rsidRPr="006866D4">
              <w:rPr>
                <w:b/>
                <w:bCs/>
              </w:rPr>
              <w:t>Cost</w:t>
            </w:r>
          </w:p>
        </w:tc>
        <w:tc>
          <w:tcPr>
            <w:tcW w:w="1572" w:type="dxa"/>
          </w:tcPr>
          <w:p w14:paraId="47163704" w14:textId="77777777" w:rsidR="00ED1301" w:rsidRPr="006866D4" w:rsidRDefault="00ED1301" w:rsidP="00ED1301">
            <w:pPr>
              <w:jc w:val="center"/>
              <w:rPr>
                <w:b/>
                <w:bCs/>
              </w:rPr>
            </w:pPr>
            <w:r w:rsidRPr="006866D4">
              <w:rPr>
                <w:b/>
                <w:bCs/>
              </w:rPr>
              <w:t>Baseline data</w:t>
            </w:r>
          </w:p>
        </w:tc>
        <w:tc>
          <w:tcPr>
            <w:tcW w:w="2102" w:type="dxa"/>
          </w:tcPr>
          <w:p w14:paraId="3A49629B" w14:textId="77777777" w:rsidR="00ED1301" w:rsidRPr="006866D4" w:rsidRDefault="00ED1301" w:rsidP="00ED1301">
            <w:pPr>
              <w:jc w:val="center"/>
              <w:rPr>
                <w:b/>
                <w:bCs/>
              </w:rPr>
            </w:pPr>
            <w:r w:rsidRPr="006866D4">
              <w:rPr>
                <w:b/>
                <w:bCs/>
              </w:rPr>
              <w:t>Person responsible</w:t>
            </w:r>
          </w:p>
        </w:tc>
        <w:tc>
          <w:tcPr>
            <w:tcW w:w="2997" w:type="dxa"/>
          </w:tcPr>
          <w:p w14:paraId="2C589918" w14:textId="77777777" w:rsidR="00ED1301" w:rsidRPr="006866D4" w:rsidRDefault="00ED1301" w:rsidP="00ED1301">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09166D" w14:paraId="08D9FA0B" w14:textId="77777777" w:rsidTr="00B81B67">
        <w:tc>
          <w:tcPr>
            <w:tcW w:w="849" w:type="dxa"/>
            <w:shd w:val="clear" w:color="auto" w:fill="DEEAF6" w:themeFill="accent5" w:themeFillTint="33"/>
          </w:tcPr>
          <w:p w14:paraId="41171B6F" w14:textId="77777777" w:rsidR="0009166D" w:rsidRDefault="0009166D" w:rsidP="0009166D">
            <w:r>
              <w:t>A</w:t>
            </w:r>
          </w:p>
        </w:tc>
        <w:tc>
          <w:tcPr>
            <w:tcW w:w="1891" w:type="dxa"/>
          </w:tcPr>
          <w:p w14:paraId="0BFE1D23" w14:textId="64A63763" w:rsidR="0009166D" w:rsidRPr="00FD3A67" w:rsidRDefault="0009166D" w:rsidP="0009166D">
            <w:pPr>
              <w:rPr>
                <w:color w:val="4472C4" w:themeColor="accent1"/>
              </w:rPr>
            </w:pPr>
            <w:r w:rsidRPr="0009166D">
              <w:t>Staff require CPD to develop a greater understanding of Thinking School climate for learning</w:t>
            </w:r>
          </w:p>
        </w:tc>
        <w:tc>
          <w:tcPr>
            <w:tcW w:w="1694" w:type="dxa"/>
          </w:tcPr>
          <w:p w14:paraId="3D8DEEB1" w14:textId="5AA040D8" w:rsidR="0009166D" w:rsidRPr="00FD3A67" w:rsidRDefault="0009166D" w:rsidP="0009166D">
            <w:pPr>
              <w:rPr>
                <w:color w:val="4472C4" w:themeColor="accent1"/>
              </w:rPr>
            </w:pPr>
            <w:r w:rsidRPr="0009166D">
              <w:t>Staff are better informed and have greater clarity about how to support children with thinking skills. This is a focus of daily/ weekly teaching in the coming year.</w:t>
            </w:r>
          </w:p>
        </w:tc>
        <w:tc>
          <w:tcPr>
            <w:tcW w:w="1950" w:type="dxa"/>
          </w:tcPr>
          <w:p w14:paraId="0E1860F6" w14:textId="39561FD8" w:rsidR="0009166D" w:rsidRPr="0009166D" w:rsidRDefault="0009166D" w:rsidP="00B81B67">
            <w:pPr>
              <w:rPr>
                <w:color w:val="000000" w:themeColor="text1"/>
              </w:rPr>
            </w:pPr>
            <w:r w:rsidRPr="0009166D">
              <w:rPr>
                <w:color w:val="000000" w:themeColor="text1"/>
              </w:rPr>
              <w:t>EEF toolkit recommends that Thinking Skills has significant impact on progress through improved q</w:t>
            </w:r>
            <w:r w:rsidR="00B63C74">
              <w:rPr>
                <w:color w:val="000000" w:themeColor="text1"/>
              </w:rPr>
              <w:t>uality of teaching and learning</w:t>
            </w:r>
            <w:r w:rsidRPr="0009166D">
              <w:rPr>
                <w:color w:val="000000" w:themeColor="text1"/>
              </w:rPr>
              <w:t>.</w:t>
            </w:r>
            <w:r w:rsidR="00B81B67">
              <w:rPr>
                <w:color w:val="000000" w:themeColor="text1"/>
              </w:rPr>
              <w:t xml:space="preserve"> Focus on metacognition.</w:t>
            </w:r>
          </w:p>
        </w:tc>
        <w:tc>
          <w:tcPr>
            <w:tcW w:w="1257" w:type="dxa"/>
          </w:tcPr>
          <w:p w14:paraId="6DD29AA0" w14:textId="522A2747" w:rsidR="0009166D" w:rsidRPr="0009166D" w:rsidRDefault="0009166D" w:rsidP="0009166D">
            <w:pPr>
              <w:rPr>
                <w:color w:val="000000" w:themeColor="text1"/>
              </w:rPr>
            </w:pPr>
            <w:r w:rsidRPr="0009166D">
              <w:rPr>
                <w:color w:val="000000" w:themeColor="text1"/>
              </w:rPr>
              <w:t>£4000 over a 2 year period</w:t>
            </w:r>
          </w:p>
        </w:tc>
        <w:tc>
          <w:tcPr>
            <w:tcW w:w="1572" w:type="dxa"/>
          </w:tcPr>
          <w:p w14:paraId="605B35EF" w14:textId="3E9C5482" w:rsidR="0009166D" w:rsidRPr="00B81B67" w:rsidRDefault="0009166D" w:rsidP="0009166D">
            <w:pPr>
              <w:autoSpaceDE w:val="0"/>
              <w:autoSpaceDN w:val="0"/>
              <w:adjustRightInd w:val="0"/>
              <w:rPr>
                <w:rFonts w:ascii="Arial" w:hAnsi="Arial" w:cs="Arial"/>
                <w:iCs/>
                <w:color w:val="000000" w:themeColor="text1"/>
                <w:sz w:val="20"/>
                <w:szCs w:val="20"/>
              </w:rPr>
            </w:pPr>
            <w:r w:rsidRPr="00B81B67">
              <w:rPr>
                <w:rFonts w:ascii="Arial" w:hAnsi="Arial" w:cs="Arial"/>
                <w:iCs/>
                <w:color w:val="000000" w:themeColor="text1"/>
                <w:sz w:val="20"/>
                <w:szCs w:val="20"/>
              </w:rPr>
              <w:t>Determined from Thinking skills audit</w:t>
            </w:r>
          </w:p>
        </w:tc>
        <w:tc>
          <w:tcPr>
            <w:tcW w:w="2102" w:type="dxa"/>
          </w:tcPr>
          <w:p w14:paraId="2630FCD3" w14:textId="35F3D412" w:rsidR="0009166D" w:rsidRPr="0009166D" w:rsidRDefault="0009166D" w:rsidP="0009166D">
            <w:pPr>
              <w:rPr>
                <w:color w:val="000000" w:themeColor="text1"/>
              </w:rPr>
            </w:pPr>
            <w:proofErr w:type="spellStart"/>
            <w:r w:rsidRPr="0009166D">
              <w:rPr>
                <w:color w:val="000000" w:themeColor="text1"/>
              </w:rPr>
              <w:t>Headteacher</w:t>
            </w:r>
            <w:proofErr w:type="spellEnd"/>
            <w:r w:rsidRPr="0009166D">
              <w:rPr>
                <w:color w:val="000000" w:themeColor="text1"/>
              </w:rPr>
              <w:t xml:space="preserve">/Deputy </w:t>
            </w:r>
            <w:proofErr w:type="spellStart"/>
            <w:r w:rsidRPr="0009166D">
              <w:rPr>
                <w:color w:val="000000" w:themeColor="text1"/>
              </w:rPr>
              <w:t>Headteacher</w:t>
            </w:r>
            <w:proofErr w:type="spellEnd"/>
            <w:r w:rsidRPr="0009166D">
              <w:rPr>
                <w:color w:val="000000" w:themeColor="text1"/>
              </w:rPr>
              <w:t xml:space="preserve"> and identified Drive team from MMT/UPS/M6 staff.</w:t>
            </w:r>
          </w:p>
        </w:tc>
        <w:tc>
          <w:tcPr>
            <w:tcW w:w="2997" w:type="dxa"/>
          </w:tcPr>
          <w:p w14:paraId="48B2A7BE" w14:textId="73629EC0" w:rsidR="0009166D" w:rsidRDefault="0009166D" w:rsidP="0009166D"/>
        </w:tc>
      </w:tr>
      <w:tr w:rsidR="0009166D" w14:paraId="5C788DAA" w14:textId="77777777" w:rsidTr="00B81B67">
        <w:tc>
          <w:tcPr>
            <w:tcW w:w="849" w:type="dxa"/>
            <w:shd w:val="clear" w:color="auto" w:fill="DEEAF6" w:themeFill="accent5" w:themeFillTint="33"/>
          </w:tcPr>
          <w:p w14:paraId="2D5A3F8E" w14:textId="77777777" w:rsidR="0009166D" w:rsidRPr="00A75D82" w:rsidRDefault="0009166D" w:rsidP="0009166D">
            <w:pPr>
              <w:rPr>
                <w:b/>
              </w:rPr>
            </w:pPr>
            <w:r>
              <w:rPr>
                <w:b/>
              </w:rPr>
              <w:t>B</w:t>
            </w:r>
          </w:p>
        </w:tc>
        <w:tc>
          <w:tcPr>
            <w:tcW w:w="1891" w:type="dxa"/>
          </w:tcPr>
          <w:p w14:paraId="7A44EFF7" w14:textId="341D1E17" w:rsidR="0009166D" w:rsidRPr="00FD3A67" w:rsidRDefault="0009166D" w:rsidP="0009166D">
            <w:pPr>
              <w:rPr>
                <w:color w:val="4472C4" w:themeColor="accent1"/>
              </w:rPr>
            </w:pPr>
            <w:r w:rsidRPr="0009166D">
              <w:t>Staff require CPD to develop a greater understanding of teaching ICT including remotely utilising new resources such as Purple Mash</w:t>
            </w:r>
          </w:p>
        </w:tc>
        <w:tc>
          <w:tcPr>
            <w:tcW w:w="1694" w:type="dxa"/>
          </w:tcPr>
          <w:p w14:paraId="41B6DE93" w14:textId="5C18212F" w:rsidR="0009166D" w:rsidRPr="00FD3A67" w:rsidRDefault="0009166D" w:rsidP="0009166D">
            <w:pPr>
              <w:rPr>
                <w:color w:val="4472C4" w:themeColor="accent1"/>
              </w:rPr>
            </w:pPr>
            <w:r w:rsidRPr="0009166D">
              <w:t>Staff are better informed and have greater clarity about how to support children with ICT skills. This is a focus of daily/ weekly teaching in the coming year and of blended/remote teaching.</w:t>
            </w:r>
          </w:p>
        </w:tc>
        <w:tc>
          <w:tcPr>
            <w:tcW w:w="1950" w:type="dxa"/>
          </w:tcPr>
          <w:p w14:paraId="21A8E20A" w14:textId="77777777" w:rsidR="0009166D" w:rsidRPr="00B81B67" w:rsidRDefault="0009166D" w:rsidP="0009166D"/>
          <w:p w14:paraId="1F859362" w14:textId="56C45338" w:rsidR="0009166D" w:rsidRPr="00B81B67" w:rsidRDefault="0009166D" w:rsidP="0009166D">
            <w:r w:rsidRPr="00B81B67">
              <w:t>DFE guidelines re the importance of Online learning as part of Blended/Remote teaching offer</w:t>
            </w:r>
          </w:p>
        </w:tc>
        <w:tc>
          <w:tcPr>
            <w:tcW w:w="1257" w:type="dxa"/>
          </w:tcPr>
          <w:p w14:paraId="6273D23E" w14:textId="18BDCE2F" w:rsidR="0009166D" w:rsidRPr="00B81B67" w:rsidRDefault="00B81B67" w:rsidP="00B81B67">
            <w:r w:rsidRPr="00B81B67">
              <w:t>£1500 for 24 hours of bespoke training</w:t>
            </w:r>
          </w:p>
        </w:tc>
        <w:tc>
          <w:tcPr>
            <w:tcW w:w="1572" w:type="dxa"/>
          </w:tcPr>
          <w:p w14:paraId="105584D8" w14:textId="719C31FA" w:rsidR="0009166D" w:rsidRPr="00B81B67" w:rsidRDefault="00B81B67" w:rsidP="0009166D">
            <w:r w:rsidRPr="00B81B67">
              <w:t>Staff survey of skills 2019-2020</w:t>
            </w:r>
          </w:p>
        </w:tc>
        <w:tc>
          <w:tcPr>
            <w:tcW w:w="2102" w:type="dxa"/>
          </w:tcPr>
          <w:p w14:paraId="1E49F418" w14:textId="1EAE5B8C" w:rsidR="0009166D" w:rsidRPr="00B81B67" w:rsidRDefault="00B81B67" w:rsidP="0009166D">
            <w:r w:rsidRPr="00B81B67">
              <w:t xml:space="preserve">Alan </w:t>
            </w:r>
            <w:proofErr w:type="spellStart"/>
            <w:r w:rsidRPr="00B81B67">
              <w:t>Granton</w:t>
            </w:r>
            <w:proofErr w:type="spellEnd"/>
            <w:r w:rsidRPr="00B81B67">
              <w:t xml:space="preserve"> and new ICT technician</w:t>
            </w:r>
          </w:p>
        </w:tc>
        <w:tc>
          <w:tcPr>
            <w:tcW w:w="2997" w:type="dxa"/>
          </w:tcPr>
          <w:p w14:paraId="318BD509" w14:textId="77777777" w:rsidR="0009166D" w:rsidRDefault="0009166D" w:rsidP="0009166D"/>
        </w:tc>
      </w:tr>
      <w:bookmarkEnd w:id="1"/>
    </w:tbl>
    <w:p w14:paraId="4600A96C" w14:textId="6306B67A" w:rsidR="00ED1301" w:rsidRDefault="00ED1301" w:rsidP="00ED1301">
      <w:pPr>
        <w:spacing w:after="0"/>
        <w:rPr>
          <w:b/>
          <w:bCs/>
          <w:sz w:val="28"/>
          <w:szCs w:val="28"/>
          <w:u w:val="single"/>
        </w:rPr>
      </w:pPr>
    </w:p>
    <w:p w14:paraId="13936075" w14:textId="17E81ED4" w:rsidR="00B81B67" w:rsidRDefault="00B81B67" w:rsidP="00ED1301">
      <w:pPr>
        <w:spacing w:after="0"/>
        <w:rPr>
          <w:b/>
          <w:bCs/>
          <w:sz w:val="28"/>
          <w:szCs w:val="28"/>
          <w:u w:val="single"/>
        </w:rPr>
      </w:pPr>
    </w:p>
    <w:p w14:paraId="3EF378F1" w14:textId="1D738BCC" w:rsidR="00B81B67" w:rsidRDefault="00B81B67" w:rsidP="00ED1301">
      <w:pPr>
        <w:spacing w:after="0"/>
        <w:rPr>
          <w:b/>
          <w:bCs/>
          <w:sz w:val="28"/>
          <w:szCs w:val="28"/>
          <w:u w:val="single"/>
        </w:rPr>
      </w:pPr>
    </w:p>
    <w:p w14:paraId="74C6C734" w14:textId="77777777" w:rsidR="00B81B67" w:rsidRDefault="00B81B67" w:rsidP="00ED1301">
      <w:pPr>
        <w:spacing w:after="0"/>
        <w:rPr>
          <w:b/>
          <w:bCs/>
          <w:sz w:val="28"/>
          <w:szCs w:val="28"/>
          <w:u w:val="single"/>
        </w:rPr>
      </w:pPr>
    </w:p>
    <w:p w14:paraId="22706695" w14:textId="77777777" w:rsidR="00C64FEE" w:rsidRDefault="00C64FEE" w:rsidP="00ED1301">
      <w:pPr>
        <w:spacing w:after="0"/>
      </w:pPr>
      <w:r w:rsidRPr="00C64FEE">
        <w:rPr>
          <w:b/>
          <w:bCs/>
          <w:sz w:val="28"/>
          <w:szCs w:val="28"/>
          <w:u w:val="single"/>
        </w:rPr>
        <w:lastRenderedPageBreak/>
        <w:t>Targeted academic support</w:t>
      </w:r>
      <w:r>
        <w:rPr>
          <w:b/>
          <w:bCs/>
          <w:sz w:val="28"/>
          <w:szCs w:val="28"/>
        </w:rPr>
        <w:t xml:space="preserve"> </w:t>
      </w:r>
      <w:r w:rsidRPr="00C64FEE">
        <w:t>i.e.</w:t>
      </w:r>
      <w:r w:rsidRPr="00C64FEE">
        <w:rPr>
          <w:b/>
          <w:bCs/>
        </w:rPr>
        <w:t xml:space="preserve"> </w:t>
      </w:r>
      <w:r w:rsidRPr="00C64FEE">
        <w:t>Structured interventions</w:t>
      </w:r>
      <w:r>
        <w:t>, s</w:t>
      </w:r>
      <w:r w:rsidRPr="00C64FEE">
        <w:t>mall group tuition</w:t>
      </w:r>
      <w:r>
        <w:t xml:space="preserve">, </w:t>
      </w:r>
      <w:r w:rsidRPr="00C64FEE">
        <w:t>1:1 support</w:t>
      </w:r>
    </w:p>
    <w:tbl>
      <w:tblPr>
        <w:tblStyle w:val="TableGrid"/>
        <w:tblW w:w="14312" w:type="dxa"/>
        <w:tblLook w:val="04A0" w:firstRow="1" w:lastRow="0" w:firstColumn="1" w:lastColumn="0" w:noHBand="0" w:noVBand="1"/>
      </w:tblPr>
      <w:tblGrid>
        <w:gridCol w:w="848"/>
        <w:gridCol w:w="1821"/>
        <w:gridCol w:w="1816"/>
        <w:gridCol w:w="2105"/>
        <w:gridCol w:w="1324"/>
        <w:gridCol w:w="1671"/>
        <w:gridCol w:w="1275"/>
        <w:gridCol w:w="3452"/>
      </w:tblGrid>
      <w:tr w:rsidR="00ED1301" w14:paraId="492D1CD1" w14:textId="77777777" w:rsidTr="00B81B67">
        <w:tc>
          <w:tcPr>
            <w:tcW w:w="848" w:type="dxa"/>
          </w:tcPr>
          <w:p w14:paraId="4D1C2D82" w14:textId="77777777" w:rsidR="00ED1301" w:rsidRPr="006866D4" w:rsidRDefault="00ED1301" w:rsidP="0037565D">
            <w:pPr>
              <w:jc w:val="center"/>
              <w:rPr>
                <w:b/>
                <w:bCs/>
              </w:rPr>
            </w:pPr>
            <w:r w:rsidRPr="006866D4">
              <w:rPr>
                <w:b/>
                <w:bCs/>
              </w:rPr>
              <w:t>Barrier</w:t>
            </w:r>
          </w:p>
        </w:tc>
        <w:tc>
          <w:tcPr>
            <w:tcW w:w="1821" w:type="dxa"/>
          </w:tcPr>
          <w:p w14:paraId="4D0AA3BA" w14:textId="77777777" w:rsidR="00ED1301" w:rsidRPr="006866D4" w:rsidRDefault="00ED1301" w:rsidP="0037565D">
            <w:pPr>
              <w:jc w:val="center"/>
              <w:rPr>
                <w:b/>
                <w:bCs/>
              </w:rPr>
            </w:pPr>
            <w:r>
              <w:rPr>
                <w:b/>
                <w:bCs/>
              </w:rPr>
              <w:t>Action</w:t>
            </w:r>
          </w:p>
        </w:tc>
        <w:tc>
          <w:tcPr>
            <w:tcW w:w="1816" w:type="dxa"/>
          </w:tcPr>
          <w:p w14:paraId="2C37E5B2" w14:textId="77777777" w:rsidR="00ED1301" w:rsidRPr="006866D4" w:rsidRDefault="00ED1301" w:rsidP="0037565D">
            <w:pPr>
              <w:jc w:val="center"/>
              <w:rPr>
                <w:b/>
                <w:bCs/>
              </w:rPr>
            </w:pPr>
            <w:r w:rsidRPr="006866D4">
              <w:rPr>
                <w:b/>
                <w:bCs/>
              </w:rPr>
              <w:t>Desired outcome</w:t>
            </w:r>
          </w:p>
        </w:tc>
        <w:tc>
          <w:tcPr>
            <w:tcW w:w="2105" w:type="dxa"/>
          </w:tcPr>
          <w:p w14:paraId="7773B04F" w14:textId="77777777" w:rsidR="00ED1301" w:rsidRPr="006866D4" w:rsidRDefault="00ED1301" w:rsidP="0037565D">
            <w:pPr>
              <w:jc w:val="center"/>
              <w:rPr>
                <w:b/>
                <w:bCs/>
              </w:rPr>
            </w:pPr>
            <w:r w:rsidRPr="006866D4">
              <w:rPr>
                <w:b/>
                <w:bCs/>
              </w:rPr>
              <w:t>Evidence source</w:t>
            </w:r>
          </w:p>
        </w:tc>
        <w:tc>
          <w:tcPr>
            <w:tcW w:w="1324" w:type="dxa"/>
          </w:tcPr>
          <w:p w14:paraId="2C3FADF4" w14:textId="77777777" w:rsidR="00ED1301" w:rsidRPr="006866D4" w:rsidRDefault="00ED1301" w:rsidP="0037565D">
            <w:pPr>
              <w:jc w:val="center"/>
              <w:rPr>
                <w:b/>
                <w:bCs/>
              </w:rPr>
            </w:pPr>
            <w:r w:rsidRPr="006866D4">
              <w:rPr>
                <w:b/>
                <w:bCs/>
              </w:rPr>
              <w:t>Cost</w:t>
            </w:r>
          </w:p>
        </w:tc>
        <w:tc>
          <w:tcPr>
            <w:tcW w:w="1671" w:type="dxa"/>
          </w:tcPr>
          <w:p w14:paraId="220128CF" w14:textId="77777777" w:rsidR="00ED1301" w:rsidRPr="006866D4" w:rsidRDefault="00ED1301" w:rsidP="0037565D">
            <w:pPr>
              <w:jc w:val="center"/>
              <w:rPr>
                <w:b/>
                <w:bCs/>
              </w:rPr>
            </w:pPr>
            <w:r w:rsidRPr="006866D4">
              <w:rPr>
                <w:b/>
                <w:bCs/>
              </w:rPr>
              <w:t>Baseline data</w:t>
            </w:r>
          </w:p>
        </w:tc>
        <w:tc>
          <w:tcPr>
            <w:tcW w:w="1275" w:type="dxa"/>
          </w:tcPr>
          <w:p w14:paraId="21874566" w14:textId="77777777" w:rsidR="00ED1301" w:rsidRPr="006866D4" w:rsidRDefault="00ED1301" w:rsidP="0037565D">
            <w:pPr>
              <w:jc w:val="center"/>
              <w:rPr>
                <w:b/>
                <w:bCs/>
              </w:rPr>
            </w:pPr>
            <w:r w:rsidRPr="006866D4">
              <w:rPr>
                <w:b/>
                <w:bCs/>
              </w:rPr>
              <w:t>Person responsible</w:t>
            </w:r>
          </w:p>
        </w:tc>
        <w:tc>
          <w:tcPr>
            <w:tcW w:w="3452" w:type="dxa"/>
          </w:tcPr>
          <w:p w14:paraId="5D7E165F"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B81B67" w14:paraId="05E31E14" w14:textId="77777777" w:rsidTr="00B81B67">
        <w:tc>
          <w:tcPr>
            <w:tcW w:w="848" w:type="dxa"/>
            <w:shd w:val="clear" w:color="auto" w:fill="FFF2CC" w:themeFill="accent4" w:themeFillTint="33"/>
          </w:tcPr>
          <w:p w14:paraId="62B763C0" w14:textId="77777777" w:rsidR="00B81B67" w:rsidRDefault="00B81B67" w:rsidP="00B81B67">
            <w:r>
              <w:t>D</w:t>
            </w:r>
          </w:p>
        </w:tc>
        <w:tc>
          <w:tcPr>
            <w:tcW w:w="1821" w:type="dxa"/>
            <w:tcBorders>
              <w:top w:val="double" w:sz="4" w:space="0" w:color="auto"/>
            </w:tcBorders>
          </w:tcPr>
          <w:p w14:paraId="307AB72F" w14:textId="36E637F4" w:rsidR="00B81B67" w:rsidRPr="00FD3A67" w:rsidRDefault="00B81B67" w:rsidP="00B81B67">
            <w:pPr>
              <w:rPr>
                <w:color w:val="4472C4" w:themeColor="accent1"/>
              </w:rPr>
            </w:pPr>
            <w:r w:rsidRPr="0009166D">
              <w:t>Only a small proportion of pupils (approx. 30%) engaged with the online learning materials provided for ICT during the summer term. This has resulted in some pupils working well below ARE.</w:t>
            </w:r>
          </w:p>
        </w:tc>
        <w:tc>
          <w:tcPr>
            <w:tcW w:w="1816" w:type="dxa"/>
            <w:tcBorders>
              <w:top w:val="double" w:sz="4" w:space="0" w:color="auto"/>
            </w:tcBorders>
          </w:tcPr>
          <w:p w14:paraId="6ED25845" w14:textId="6BCC159F" w:rsidR="00B81B67" w:rsidRPr="00FD3A67" w:rsidRDefault="00B81B67" w:rsidP="00B81B67">
            <w:pPr>
              <w:rPr>
                <w:color w:val="4472C4" w:themeColor="accent1"/>
              </w:rPr>
            </w:pPr>
            <w:r w:rsidRPr="0009166D">
              <w:t>Pupils make accelerated progress in ICT from their starting points at the beginning of the autumn term.</w:t>
            </w:r>
          </w:p>
        </w:tc>
        <w:tc>
          <w:tcPr>
            <w:tcW w:w="2105" w:type="dxa"/>
          </w:tcPr>
          <w:p w14:paraId="65D3AB42" w14:textId="77777777" w:rsidR="00B81B67" w:rsidRPr="00B81B67" w:rsidRDefault="00B81B67" w:rsidP="00B81B67">
            <w:r w:rsidRPr="00B81B67">
              <w:t>Education Endowment Fund Teaching and Learning Toolkit:</w:t>
            </w:r>
          </w:p>
          <w:p w14:paraId="045E0222" w14:textId="77777777" w:rsidR="00B81B67" w:rsidRPr="00B81B67" w:rsidRDefault="00B81B67" w:rsidP="00B81B67"/>
          <w:p w14:paraId="25848F32" w14:textId="77777777" w:rsidR="00B81B67" w:rsidRPr="00B81B67" w:rsidRDefault="00B81B67" w:rsidP="00B81B67">
            <w:r w:rsidRPr="00B81B67">
              <w:t>Small Group Tuition (+4)</w:t>
            </w:r>
          </w:p>
          <w:p w14:paraId="2E99F658" w14:textId="69763785" w:rsidR="00B81B67" w:rsidRPr="00B81B67" w:rsidRDefault="00B81B67" w:rsidP="00B81B67">
            <w:r w:rsidRPr="00B81B67">
              <w:t>Feedback (+8)</w:t>
            </w:r>
          </w:p>
        </w:tc>
        <w:tc>
          <w:tcPr>
            <w:tcW w:w="1324" w:type="dxa"/>
          </w:tcPr>
          <w:p w14:paraId="638C5B71" w14:textId="06541718" w:rsidR="00B81B67" w:rsidRPr="00B81B67" w:rsidRDefault="00B81B67" w:rsidP="00B81B67">
            <w:r>
              <w:t>Up to £14,100</w:t>
            </w:r>
            <w:r w:rsidRPr="00B81B67">
              <w:t>.</w:t>
            </w:r>
          </w:p>
        </w:tc>
        <w:tc>
          <w:tcPr>
            <w:tcW w:w="1671" w:type="dxa"/>
          </w:tcPr>
          <w:p w14:paraId="12C4A172" w14:textId="7E401C28" w:rsidR="00B81B67" w:rsidRPr="00B81B67" w:rsidRDefault="00B81B67" w:rsidP="00157D64">
            <w:pPr>
              <w:autoSpaceDE w:val="0"/>
              <w:autoSpaceDN w:val="0"/>
              <w:adjustRightInd w:val="0"/>
              <w:rPr>
                <w:rFonts w:ascii="Arial" w:hAnsi="Arial" w:cs="Arial"/>
                <w:iCs/>
                <w:sz w:val="20"/>
                <w:szCs w:val="20"/>
              </w:rPr>
            </w:pPr>
            <w:r w:rsidRPr="00B81B67">
              <w:rPr>
                <w:rFonts w:ascii="Arial" w:hAnsi="Arial" w:cs="Arial"/>
                <w:iCs/>
                <w:sz w:val="20"/>
                <w:szCs w:val="20"/>
              </w:rPr>
              <w:t xml:space="preserve">Determined from assessments made at </w:t>
            </w:r>
            <w:r>
              <w:rPr>
                <w:rFonts w:ascii="Arial" w:hAnsi="Arial" w:cs="Arial"/>
                <w:iCs/>
                <w:sz w:val="20"/>
                <w:szCs w:val="20"/>
              </w:rPr>
              <w:t>t</w:t>
            </w:r>
            <w:r w:rsidRPr="00B81B67">
              <w:rPr>
                <w:rFonts w:ascii="Arial" w:hAnsi="Arial" w:cs="Arial"/>
                <w:iCs/>
                <w:sz w:val="20"/>
                <w:szCs w:val="20"/>
              </w:rPr>
              <w:t>he start of the autumn term</w:t>
            </w:r>
          </w:p>
        </w:tc>
        <w:tc>
          <w:tcPr>
            <w:tcW w:w="1275" w:type="dxa"/>
          </w:tcPr>
          <w:p w14:paraId="1C724930" w14:textId="672617DE" w:rsidR="00B81B67" w:rsidRPr="00FD3A67" w:rsidRDefault="00B81B67" w:rsidP="00B81B67">
            <w:pPr>
              <w:rPr>
                <w:color w:val="4472C4" w:themeColor="accent1"/>
              </w:rPr>
            </w:pPr>
            <w:r w:rsidRPr="00B81B67">
              <w:t xml:space="preserve">Alan </w:t>
            </w:r>
            <w:proofErr w:type="spellStart"/>
            <w:r w:rsidRPr="00B81B67">
              <w:t>Granton</w:t>
            </w:r>
            <w:proofErr w:type="spellEnd"/>
          </w:p>
        </w:tc>
        <w:tc>
          <w:tcPr>
            <w:tcW w:w="3452" w:type="dxa"/>
          </w:tcPr>
          <w:p w14:paraId="070C81FB" w14:textId="396B7FAB" w:rsidR="00B81B67" w:rsidRDefault="00B81B67" w:rsidP="00B81B67"/>
        </w:tc>
      </w:tr>
    </w:tbl>
    <w:p w14:paraId="271FE0C7" w14:textId="77777777" w:rsidR="00C50CC3" w:rsidRDefault="00C50CC3" w:rsidP="00ED1301">
      <w:pPr>
        <w:spacing w:after="0"/>
        <w:rPr>
          <w:b/>
          <w:bCs/>
          <w:sz w:val="28"/>
          <w:szCs w:val="28"/>
          <w:u w:val="single"/>
        </w:rPr>
      </w:pPr>
    </w:p>
    <w:p w14:paraId="0CFEEC24" w14:textId="10D91974" w:rsidR="00C64FEE" w:rsidRDefault="00C64FEE" w:rsidP="00ED1301">
      <w:pPr>
        <w:spacing w:after="0"/>
      </w:pPr>
      <w:r w:rsidRPr="00C64FEE">
        <w:rPr>
          <w:b/>
          <w:bCs/>
          <w:sz w:val="28"/>
          <w:szCs w:val="28"/>
          <w:u w:val="single"/>
        </w:rPr>
        <w:t>Wider strategies</w:t>
      </w:r>
      <w:r>
        <w:rPr>
          <w:b/>
          <w:bCs/>
          <w:sz w:val="28"/>
          <w:szCs w:val="28"/>
        </w:rPr>
        <w:t xml:space="preserve"> </w:t>
      </w:r>
      <w:r w:rsidRPr="00483742">
        <w:t>i.e.</w:t>
      </w:r>
      <w:r w:rsidRPr="00483742">
        <w:rPr>
          <w:b/>
          <w:bCs/>
        </w:rPr>
        <w:t xml:space="preserve"> </w:t>
      </w:r>
      <w:r w:rsidRPr="00C64FEE">
        <w:t>Behaviour approaches</w:t>
      </w:r>
      <w:r>
        <w:t xml:space="preserve">, </w:t>
      </w:r>
      <w:r w:rsidR="00FD3A67">
        <w:t>recommendations made in “Safe, Happy, Settled”.</w:t>
      </w:r>
    </w:p>
    <w:tbl>
      <w:tblPr>
        <w:tblStyle w:val="TableGrid"/>
        <w:tblW w:w="14312" w:type="dxa"/>
        <w:tblLook w:val="04A0" w:firstRow="1" w:lastRow="0" w:firstColumn="1" w:lastColumn="0" w:noHBand="0" w:noVBand="1"/>
      </w:tblPr>
      <w:tblGrid>
        <w:gridCol w:w="848"/>
        <w:gridCol w:w="1841"/>
        <w:gridCol w:w="1842"/>
        <w:gridCol w:w="2127"/>
        <w:gridCol w:w="1134"/>
        <w:gridCol w:w="1685"/>
        <w:gridCol w:w="1275"/>
        <w:gridCol w:w="3560"/>
      </w:tblGrid>
      <w:tr w:rsidR="00ED1301" w14:paraId="57336247" w14:textId="77777777" w:rsidTr="0037565D">
        <w:tc>
          <w:tcPr>
            <w:tcW w:w="848" w:type="dxa"/>
          </w:tcPr>
          <w:p w14:paraId="2AB5DD3F" w14:textId="77777777" w:rsidR="00ED1301" w:rsidRPr="006866D4" w:rsidRDefault="00ED1301" w:rsidP="0037565D">
            <w:pPr>
              <w:jc w:val="center"/>
              <w:rPr>
                <w:b/>
                <w:bCs/>
              </w:rPr>
            </w:pPr>
            <w:r w:rsidRPr="006866D4">
              <w:rPr>
                <w:b/>
                <w:bCs/>
              </w:rPr>
              <w:t>Barrier</w:t>
            </w:r>
          </w:p>
        </w:tc>
        <w:tc>
          <w:tcPr>
            <w:tcW w:w="1841" w:type="dxa"/>
          </w:tcPr>
          <w:p w14:paraId="1DF58E42" w14:textId="77777777" w:rsidR="00ED1301" w:rsidRPr="006866D4" w:rsidRDefault="00ED1301" w:rsidP="0037565D">
            <w:pPr>
              <w:jc w:val="center"/>
              <w:rPr>
                <w:b/>
                <w:bCs/>
              </w:rPr>
            </w:pPr>
            <w:r>
              <w:rPr>
                <w:b/>
                <w:bCs/>
              </w:rPr>
              <w:t>Action</w:t>
            </w:r>
          </w:p>
        </w:tc>
        <w:tc>
          <w:tcPr>
            <w:tcW w:w="1842" w:type="dxa"/>
          </w:tcPr>
          <w:p w14:paraId="705F41AE" w14:textId="77777777" w:rsidR="00ED1301" w:rsidRPr="006866D4" w:rsidRDefault="00ED1301" w:rsidP="0037565D">
            <w:pPr>
              <w:jc w:val="center"/>
              <w:rPr>
                <w:b/>
                <w:bCs/>
              </w:rPr>
            </w:pPr>
            <w:r w:rsidRPr="006866D4">
              <w:rPr>
                <w:b/>
                <w:bCs/>
              </w:rPr>
              <w:t>Desired outcome</w:t>
            </w:r>
          </w:p>
        </w:tc>
        <w:tc>
          <w:tcPr>
            <w:tcW w:w="2127" w:type="dxa"/>
          </w:tcPr>
          <w:p w14:paraId="1167A9E6" w14:textId="77777777" w:rsidR="00ED1301" w:rsidRPr="006866D4" w:rsidRDefault="00ED1301" w:rsidP="0037565D">
            <w:pPr>
              <w:jc w:val="center"/>
              <w:rPr>
                <w:b/>
                <w:bCs/>
              </w:rPr>
            </w:pPr>
            <w:r w:rsidRPr="006866D4">
              <w:rPr>
                <w:b/>
                <w:bCs/>
              </w:rPr>
              <w:t>Evidence source</w:t>
            </w:r>
          </w:p>
        </w:tc>
        <w:tc>
          <w:tcPr>
            <w:tcW w:w="1134" w:type="dxa"/>
          </w:tcPr>
          <w:p w14:paraId="50ED8F6E" w14:textId="77777777" w:rsidR="00ED1301" w:rsidRPr="006866D4" w:rsidRDefault="00ED1301" w:rsidP="0037565D">
            <w:pPr>
              <w:jc w:val="center"/>
              <w:rPr>
                <w:b/>
                <w:bCs/>
              </w:rPr>
            </w:pPr>
            <w:r w:rsidRPr="006866D4">
              <w:rPr>
                <w:b/>
                <w:bCs/>
              </w:rPr>
              <w:t>Cost</w:t>
            </w:r>
          </w:p>
        </w:tc>
        <w:tc>
          <w:tcPr>
            <w:tcW w:w="1685" w:type="dxa"/>
          </w:tcPr>
          <w:p w14:paraId="44A4559D" w14:textId="77777777" w:rsidR="00ED1301" w:rsidRPr="006866D4" w:rsidRDefault="00ED1301" w:rsidP="0037565D">
            <w:pPr>
              <w:jc w:val="center"/>
              <w:rPr>
                <w:b/>
                <w:bCs/>
              </w:rPr>
            </w:pPr>
            <w:r w:rsidRPr="006866D4">
              <w:rPr>
                <w:b/>
                <w:bCs/>
              </w:rPr>
              <w:t>Baseline data</w:t>
            </w:r>
          </w:p>
        </w:tc>
        <w:tc>
          <w:tcPr>
            <w:tcW w:w="1275" w:type="dxa"/>
          </w:tcPr>
          <w:p w14:paraId="6F753C07" w14:textId="77777777" w:rsidR="00ED1301" w:rsidRPr="006866D4" w:rsidRDefault="00ED1301" w:rsidP="0037565D">
            <w:pPr>
              <w:jc w:val="center"/>
              <w:rPr>
                <w:b/>
                <w:bCs/>
              </w:rPr>
            </w:pPr>
            <w:r w:rsidRPr="006866D4">
              <w:rPr>
                <w:b/>
                <w:bCs/>
              </w:rPr>
              <w:t>Person responsible</w:t>
            </w:r>
          </w:p>
        </w:tc>
        <w:tc>
          <w:tcPr>
            <w:tcW w:w="3560" w:type="dxa"/>
          </w:tcPr>
          <w:p w14:paraId="7F8CCA21"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B81B67" w14:paraId="4DD5F4D9" w14:textId="77777777" w:rsidTr="003E0D17">
        <w:tc>
          <w:tcPr>
            <w:tcW w:w="848" w:type="dxa"/>
            <w:shd w:val="clear" w:color="auto" w:fill="E2EFD9" w:themeFill="accent6" w:themeFillTint="33"/>
          </w:tcPr>
          <w:p w14:paraId="694E153B" w14:textId="77777777" w:rsidR="00B81B67" w:rsidRDefault="00B81B67" w:rsidP="00B81B67">
            <w:r>
              <w:t>G</w:t>
            </w:r>
          </w:p>
        </w:tc>
        <w:tc>
          <w:tcPr>
            <w:tcW w:w="1841" w:type="dxa"/>
          </w:tcPr>
          <w:p w14:paraId="739177A9" w14:textId="422778E0" w:rsidR="00B81B67" w:rsidRPr="00FD3A67" w:rsidRDefault="00B81B67" w:rsidP="00B81B67">
            <w:pPr>
              <w:rPr>
                <w:color w:val="4472C4" w:themeColor="accent1"/>
              </w:rPr>
            </w:pPr>
            <w:r w:rsidRPr="0009166D">
              <w:t>Online safety is a greater priority due to remote/blended teaching offers.</w:t>
            </w:r>
          </w:p>
        </w:tc>
        <w:tc>
          <w:tcPr>
            <w:tcW w:w="1842" w:type="dxa"/>
          </w:tcPr>
          <w:p w14:paraId="2EA87892" w14:textId="7BFBC00E" w:rsidR="00B81B67" w:rsidRPr="00FD3A67" w:rsidRDefault="00B81B67" w:rsidP="00B81B67">
            <w:pPr>
              <w:rPr>
                <w:color w:val="4472C4" w:themeColor="accent1"/>
              </w:rPr>
            </w:pPr>
            <w:r w:rsidRPr="0009166D">
              <w:t>All pupils have increased awareness of how to keep themselves safe online.</w:t>
            </w:r>
          </w:p>
        </w:tc>
        <w:tc>
          <w:tcPr>
            <w:tcW w:w="2127" w:type="dxa"/>
          </w:tcPr>
          <w:p w14:paraId="3CDCF7D1" w14:textId="77777777" w:rsidR="00B81B67" w:rsidRPr="00B81B67" w:rsidRDefault="00B81B67" w:rsidP="00B81B67">
            <w:r w:rsidRPr="00B81B67">
              <w:t>Education Endowment Fund Teaching and Learning Toolkit:</w:t>
            </w:r>
          </w:p>
          <w:p w14:paraId="041BD1DD" w14:textId="77777777" w:rsidR="00B81B67" w:rsidRPr="00B81B67" w:rsidRDefault="00B81B67" w:rsidP="00B81B67"/>
          <w:p w14:paraId="3A4EC2F5" w14:textId="77777777" w:rsidR="00B81B67" w:rsidRPr="00B81B67" w:rsidRDefault="00B81B67" w:rsidP="00B81B67">
            <w:r w:rsidRPr="00B81B67">
              <w:t>Small Group Tuition (+4)</w:t>
            </w:r>
          </w:p>
          <w:p w14:paraId="1298E219" w14:textId="7A9A0944" w:rsidR="00B81B67" w:rsidRPr="00B81B67" w:rsidRDefault="00B81B67" w:rsidP="00B81B67">
            <w:r w:rsidRPr="00B81B67">
              <w:t>Feedback (+8)</w:t>
            </w:r>
          </w:p>
          <w:p w14:paraId="479CDADE" w14:textId="789D90EA" w:rsidR="00B81B67" w:rsidRPr="00B81B67" w:rsidRDefault="00B81B67" w:rsidP="00B81B67"/>
        </w:tc>
        <w:tc>
          <w:tcPr>
            <w:tcW w:w="1134" w:type="dxa"/>
          </w:tcPr>
          <w:p w14:paraId="555DFC89" w14:textId="3C5F7811" w:rsidR="00B81B67" w:rsidRPr="00B81B67" w:rsidRDefault="00B81B67" w:rsidP="00B81B67">
            <w:r w:rsidRPr="00B81B67">
              <w:t>£2000</w:t>
            </w:r>
          </w:p>
          <w:p w14:paraId="11ADF15C" w14:textId="77777777" w:rsidR="00B81B67" w:rsidRPr="00B81B67" w:rsidRDefault="00B81B67" w:rsidP="00B81B67"/>
          <w:p w14:paraId="591104E0" w14:textId="77777777" w:rsidR="00B81B67" w:rsidRPr="00B81B67" w:rsidRDefault="00B81B67" w:rsidP="00B81B67"/>
          <w:p w14:paraId="7CF4F6E3" w14:textId="77777777" w:rsidR="00B81B67" w:rsidRPr="00B81B67" w:rsidRDefault="00B81B67" w:rsidP="00B81B67"/>
          <w:p w14:paraId="5CB069C9" w14:textId="77777777" w:rsidR="00B81B67" w:rsidRPr="00B81B67" w:rsidRDefault="00B81B67" w:rsidP="00B81B67"/>
          <w:p w14:paraId="76D71FA7" w14:textId="77777777" w:rsidR="00B81B67" w:rsidRPr="00B81B67" w:rsidRDefault="00B81B67" w:rsidP="00B81B67"/>
          <w:p w14:paraId="35E64F7E" w14:textId="77777777" w:rsidR="00B81B67" w:rsidRPr="00B81B67" w:rsidRDefault="00B81B67" w:rsidP="00B81B67"/>
          <w:p w14:paraId="5F845822" w14:textId="77777777" w:rsidR="00B81B67" w:rsidRPr="00B81B67" w:rsidRDefault="00B81B67" w:rsidP="00B81B67"/>
          <w:p w14:paraId="7335F581" w14:textId="77777777" w:rsidR="00B81B67" w:rsidRPr="00B81B67" w:rsidRDefault="00B81B67" w:rsidP="00B81B67"/>
          <w:p w14:paraId="54270FE9" w14:textId="38107F34" w:rsidR="00B81B67" w:rsidRPr="00B81B67" w:rsidRDefault="00B81B67" w:rsidP="00B81B67"/>
          <w:p w14:paraId="67854253" w14:textId="5ADB9CA8" w:rsidR="00B81B67" w:rsidRPr="00B81B67" w:rsidRDefault="00B81B67" w:rsidP="00B81B67"/>
        </w:tc>
        <w:tc>
          <w:tcPr>
            <w:tcW w:w="1685" w:type="dxa"/>
          </w:tcPr>
          <w:p w14:paraId="10D9E3DD" w14:textId="5FB8035C" w:rsidR="00B81B67" w:rsidRPr="00B81B67" w:rsidRDefault="00B81B67" w:rsidP="00B81B67">
            <w:pPr>
              <w:autoSpaceDE w:val="0"/>
              <w:autoSpaceDN w:val="0"/>
              <w:adjustRightInd w:val="0"/>
              <w:jc w:val="both"/>
              <w:rPr>
                <w:rFonts w:ascii="Arial" w:hAnsi="Arial" w:cs="Arial"/>
                <w:sz w:val="20"/>
                <w:szCs w:val="20"/>
              </w:rPr>
            </w:pPr>
            <w:r w:rsidRPr="00B81B67">
              <w:rPr>
                <w:rFonts w:ascii="Arial" w:hAnsi="Arial" w:cs="Arial"/>
                <w:iCs/>
                <w:sz w:val="20"/>
                <w:szCs w:val="20"/>
              </w:rPr>
              <w:t>Determined from assessments made at the start of the autumn term</w:t>
            </w:r>
          </w:p>
        </w:tc>
        <w:tc>
          <w:tcPr>
            <w:tcW w:w="1275" w:type="dxa"/>
          </w:tcPr>
          <w:p w14:paraId="703CDB98" w14:textId="387D5911" w:rsidR="00B81B67" w:rsidRPr="00B81B67" w:rsidRDefault="00B81B67" w:rsidP="00B81B67">
            <w:r w:rsidRPr="00B81B67">
              <w:t xml:space="preserve">Alan </w:t>
            </w:r>
            <w:proofErr w:type="spellStart"/>
            <w:r w:rsidRPr="00B81B67">
              <w:t>Granton</w:t>
            </w:r>
            <w:proofErr w:type="spellEnd"/>
            <w:r w:rsidRPr="00B81B67">
              <w:t xml:space="preserve"> and DSLs</w:t>
            </w:r>
          </w:p>
          <w:p w14:paraId="69C13C6B" w14:textId="77777777" w:rsidR="00B81B67" w:rsidRPr="00B81B67" w:rsidRDefault="00B81B67" w:rsidP="00B81B67"/>
          <w:p w14:paraId="3537CBC9" w14:textId="77777777" w:rsidR="00B81B67" w:rsidRPr="00B81B67" w:rsidRDefault="00B81B67" w:rsidP="00B81B67"/>
          <w:p w14:paraId="38919B9D" w14:textId="77777777" w:rsidR="00B81B67" w:rsidRPr="00B81B67" w:rsidRDefault="00B81B67" w:rsidP="00B81B67"/>
          <w:p w14:paraId="450B9559" w14:textId="77777777" w:rsidR="00B81B67" w:rsidRPr="00B81B67" w:rsidRDefault="00B81B67" w:rsidP="00B81B67"/>
          <w:p w14:paraId="686D63D3" w14:textId="77777777" w:rsidR="00B81B67" w:rsidRPr="00B81B67" w:rsidRDefault="00B81B67" w:rsidP="00B81B67"/>
          <w:p w14:paraId="479B9674" w14:textId="77777777" w:rsidR="00B81B67" w:rsidRPr="00B81B67" w:rsidRDefault="00B81B67" w:rsidP="00B81B67"/>
          <w:p w14:paraId="36E7C332" w14:textId="77777777" w:rsidR="00B81B67" w:rsidRPr="00B81B67" w:rsidRDefault="00B81B67" w:rsidP="00B81B67"/>
          <w:p w14:paraId="12073EF3" w14:textId="2ACB2592" w:rsidR="00B81B67" w:rsidRPr="00B81B67" w:rsidRDefault="00B81B67" w:rsidP="00B81B67"/>
        </w:tc>
        <w:tc>
          <w:tcPr>
            <w:tcW w:w="3560" w:type="dxa"/>
          </w:tcPr>
          <w:p w14:paraId="08B9754E" w14:textId="37EE7701" w:rsidR="00B81B67" w:rsidRDefault="00B81B67" w:rsidP="00B81B67"/>
        </w:tc>
      </w:tr>
    </w:tbl>
    <w:p w14:paraId="13C977D6" w14:textId="77777777" w:rsidR="00483742" w:rsidRDefault="00483742"/>
    <w:p w14:paraId="33071B7E" w14:textId="16BC6ADB" w:rsidR="00483742" w:rsidRDefault="00483742">
      <w:pPr>
        <w:rPr>
          <w:b/>
          <w:bCs/>
          <w:sz w:val="28"/>
          <w:szCs w:val="28"/>
          <w:u w:val="single"/>
        </w:rPr>
      </w:pPr>
      <w:r w:rsidRPr="008A1D5F">
        <w:rPr>
          <w:b/>
          <w:bCs/>
          <w:sz w:val="28"/>
          <w:szCs w:val="28"/>
          <w:u w:val="single"/>
        </w:rPr>
        <w:t>Governance – monitoring the effectiveness of the Pupil Premium Strategy</w:t>
      </w:r>
    </w:p>
    <w:tbl>
      <w:tblPr>
        <w:tblStyle w:val="TableGrid"/>
        <w:tblW w:w="0" w:type="auto"/>
        <w:tblLook w:val="04A0" w:firstRow="1" w:lastRow="0" w:firstColumn="1" w:lastColumn="0" w:noHBand="0" w:noVBand="1"/>
      </w:tblPr>
      <w:tblGrid>
        <w:gridCol w:w="13948"/>
      </w:tblGrid>
      <w:tr w:rsidR="00483742" w14:paraId="4C260680" w14:textId="77777777" w:rsidTr="00CA2537">
        <w:tc>
          <w:tcPr>
            <w:tcW w:w="13948" w:type="dxa"/>
          </w:tcPr>
          <w:p w14:paraId="32B686F1" w14:textId="77777777" w:rsidR="00483742" w:rsidRDefault="00483742">
            <w:pPr>
              <w:rPr>
                <w:b/>
                <w:bCs/>
              </w:rPr>
            </w:pPr>
            <w:r w:rsidRPr="00483742">
              <w:rPr>
                <w:b/>
                <w:bCs/>
              </w:rPr>
              <w:t>Governors involved:</w:t>
            </w:r>
          </w:p>
          <w:p w14:paraId="1820BEA8" w14:textId="77777777" w:rsidR="00483742" w:rsidRDefault="00B81B67" w:rsidP="00B81B67">
            <w:pPr>
              <w:rPr>
                <w:bCs/>
              </w:rPr>
            </w:pPr>
            <w:r>
              <w:rPr>
                <w:bCs/>
              </w:rPr>
              <w:t>Arlene Bell. Jill Bowe.</w:t>
            </w:r>
          </w:p>
          <w:p w14:paraId="1F63A10C" w14:textId="6DBA1E13" w:rsidR="00CA2537" w:rsidRPr="00A455DF" w:rsidRDefault="00CA2537" w:rsidP="00B81B67">
            <w:pPr>
              <w:rPr>
                <w:bCs/>
              </w:rPr>
            </w:pPr>
            <w:bookmarkStart w:id="2" w:name="_GoBack"/>
            <w:bookmarkEnd w:id="2"/>
          </w:p>
        </w:tc>
      </w:tr>
      <w:tr w:rsidR="00483742" w14:paraId="00DE5A03" w14:textId="77777777" w:rsidTr="00CA2537">
        <w:tc>
          <w:tcPr>
            <w:tcW w:w="13948" w:type="dxa"/>
          </w:tcPr>
          <w:p w14:paraId="0E776ACC" w14:textId="212E6E9E" w:rsidR="00483742" w:rsidRDefault="00CA2537">
            <w:pPr>
              <w:rPr>
                <w:b/>
                <w:bCs/>
              </w:rPr>
            </w:pPr>
            <w:r>
              <w:rPr>
                <w:b/>
                <w:bCs/>
              </w:rPr>
              <w:t>Plan reviewed Termly</w:t>
            </w:r>
          </w:p>
          <w:p w14:paraId="1648C5F1" w14:textId="77777777" w:rsidR="00483742" w:rsidRPr="00483742" w:rsidRDefault="00483742">
            <w:pPr>
              <w:rPr>
                <w:b/>
                <w:bCs/>
              </w:rPr>
            </w:pPr>
          </w:p>
        </w:tc>
      </w:tr>
    </w:tbl>
    <w:p w14:paraId="64F08801" w14:textId="77777777" w:rsidR="00483742" w:rsidRDefault="00483742"/>
    <w:sectPr w:rsidR="00483742" w:rsidSect="00B63C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1D"/>
    <w:rsid w:val="00016889"/>
    <w:rsid w:val="00023FC9"/>
    <w:rsid w:val="00061360"/>
    <w:rsid w:val="00076F68"/>
    <w:rsid w:val="0009166D"/>
    <w:rsid w:val="000C2E2D"/>
    <w:rsid w:val="000E0397"/>
    <w:rsid w:val="00155892"/>
    <w:rsid w:val="00157D64"/>
    <w:rsid w:val="0017466F"/>
    <w:rsid w:val="00186830"/>
    <w:rsid w:val="001C597C"/>
    <w:rsid w:val="001D5381"/>
    <w:rsid w:val="00244F5E"/>
    <w:rsid w:val="0027285F"/>
    <w:rsid w:val="002A2936"/>
    <w:rsid w:val="002A735D"/>
    <w:rsid w:val="002B2282"/>
    <w:rsid w:val="002B75DA"/>
    <w:rsid w:val="002D7D88"/>
    <w:rsid w:val="002E3AF6"/>
    <w:rsid w:val="002E6CD7"/>
    <w:rsid w:val="002F799F"/>
    <w:rsid w:val="0030097D"/>
    <w:rsid w:val="0030486F"/>
    <w:rsid w:val="00317761"/>
    <w:rsid w:val="0036074D"/>
    <w:rsid w:val="0037565D"/>
    <w:rsid w:val="0038051E"/>
    <w:rsid w:val="00390346"/>
    <w:rsid w:val="003B3E5E"/>
    <w:rsid w:val="003D0DCF"/>
    <w:rsid w:val="003D2134"/>
    <w:rsid w:val="003E0D17"/>
    <w:rsid w:val="00416F2D"/>
    <w:rsid w:val="00483742"/>
    <w:rsid w:val="004E40A0"/>
    <w:rsid w:val="005314E9"/>
    <w:rsid w:val="005332C1"/>
    <w:rsid w:val="00537830"/>
    <w:rsid w:val="005B12C1"/>
    <w:rsid w:val="005B188F"/>
    <w:rsid w:val="005C0689"/>
    <w:rsid w:val="005D2B5B"/>
    <w:rsid w:val="005D74F7"/>
    <w:rsid w:val="006321CD"/>
    <w:rsid w:val="00636838"/>
    <w:rsid w:val="006866D4"/>
    <w:rsid w:val="006C30EB"/>
    <w:rsid w:val="006F0C67"/>
    <w:rsid w:val="007772CC"/>
    <w:rsid w:val="007B5239"/>
    <w:rsid w:val="007C799A"/>
    <w:rsid w:val="007D01FF"/>
    <w:rsid w:val="007D245F"/>
    <w:rsid w:val="007F3934"/>
    <w:rsid w:val="00842225"/>
    <w:rsid w:val="00852940"/>
    <w:rsid w:val="00866C83"/>
    <w:rsid w:val="008A1D5F"/>
    <w:rsid w:val="008A4C1A"/>
    <w:rsid w:val="008E498B"/>
    <w:rsid w:val="00903DCA"/>
    <w:rsid w:val="009254E2"/>
    <w:rsid w:val="00935B0C"/>
    <w:rsid w:val="00A24E53"/>
    <w:rsid w:val="00A43940"/>
    <w:rsid w:val="00A455DF"/>
    <w:rsid w:val="00A75D82"/>
    <w:rsid w:val="00B12C06"/>
    <w:rsid w:val="00B61790"/>
    <w:rsid w:val="00B63C74"/>
    <w:rsid w:val="00B80ADF"/>
    <w:rsid w:val="00B81B67"/>
    <w:rsid w:val="00BA7C44"/>
    <w:rsid w:val="00BC1762"/>
    <w:rsid w:val="00BC6D55"/>
    <w:rsid w:val="00BD52DF"/>
    <w:rsid w:val="00C04421"/>
    <w:rsid w:val="00C50CC3"/>
    <w:rsid w:val="00C53B98"/>
    <w:rsid w:val="00C64FEE"/>
    <w:rsid w:val="00C805EA"/>
    <w:rsid w:val="00C969F9"/>
    <w:rsid w:val="00CA2537"/>
    <w:rsid w:val="00CD4B36"/>
    <w:rsid w:val="00CE3B30"/>
    <w:rsid w:val="00D0032C"/>
    <w:rsid w:val="00D049FC"/>
    <w:rsid w:val="00D063AA"/>
    <w:rsid w:val="00D07AF4"/>
    <w:rsid w:val="00D10319"/>
    <w:rsid w:val="00D23E1D"/>
    <w:rsid w:val="00D473BD"/>
    <w:rsid w:val="00D915B9"/>
    <w:rsid w:val="00DB51EC"/>
    <w:rsid w:val="00DD3B76"/>
    <w:rsid w:val="00E07511"/>
    <w:rsid w:val="00E27011"/>
    <w:rsid w:val="00E32DCB"/>
    <w:rsid w:val="00E74D3A"/>
    <w:rsid w:val="00E85753"/>
    <w:rsid w:val="00EB059E"/>
    <w:rsid w:val="00ED1301"/>
    <w:rsid w:val="00ED382C"/>
    <w:rsid w:val="00F31685"/>
    <w:rsid w:val="00F566D4"/>
    <w:rsid w:val="00F660E2"/>
    <w:rsid w:val="00FB77C7"/>
    <w:rsid w:val="00FC0B37"/>
    <w:rsid w:val="00FD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customStyle="1"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covid-19-resources/guide-to-supporting-schools-planning/" TargetMode="Externa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rcaunce</cp:lastModifiedBy>
  <cp:revision>3</cp:revision>
  <dcterms:created xsi:type="dcterms:W3CDTF">2021-01-06T15:03:00Z</dcterms:created>
  <dcterms:modified xsi:type="dcterms:W3CDTF">2021-01-06T15:16:00Z</dcterms:modified>
</cp:coreProperties>
</file>