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02613B" w14:textId="77777777" w:rsidR="008B7323" w:rsidRPr="00486870" w:rsidRDefault="00825D80" w:rsidP="00B92DD3">
      <w:pPr>
        <w:pStyle w:val="aTitle"/>
        <w:rPr>
          <w:color w:val="632423" w:themeColor="accent2" w:themeShade="80"/>
        </w:rPr>
      </w:pPr>
      <w:r w:rsidRPr="00486870">
        <w:rPr>
          <w:noProof/>
          <w:color w:val="632423" w:themeColor="accent2" w:themeShade="80"/>
          <w:lang w:eastAsia="en-GB" w:bidi="ar-SA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5E1B0874" wp14:editId="4E203669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466286" cy="10592763"/>
                <wp:effectExtent l="38100" t="38100" r="59055" b="5651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6286" cy="10592763"/>
                        </a:xfrm>
                        <a:prstGeom prst="rect">
                          <a:avLst/>
                        </a:prstGeom>
                        <a:noFill/>
                        <a:ln w="101600" cap="flat" cmpd="sng" algn="ctr">
                          <a:gradFill>
                            <a:gsLst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797C7727" id="Rectangle 1" o:spid="_x0000_s1026" style="position:absolute;margin-left:536.7pt;margin-top:0;width:587.9pt;height:834.1pt;z-index:25168844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" filled="f" strokeweight="8pt">
                <w10:wrap anchorx="page" anchory="page"/>
              </v:rect>
            </w:pict>
          </mc:Fallback>
        </mc:AlternateContent>
      </w:r>
      <w:r w:rsidR="00D211FB">
        <w:rPr>
          <w:noProof/>
          <w:color w:val="632423" w:themeColor="accent2" w:themeShade="80"/>
          <w:lang w:eastAsia="en-GB" w:bidi="ar-SA"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 wp14:anchorId="44D4460B" wp14:editId="1E8FDD0E">
                <wp:simplePos x="0" y="0"/>
                <wp:positionH relativeFrom="margin">
                  <wp:align>right</wp:align>
                </wp:positionH>
                <wp:positionV relativeFrom="paragraph">
                  <wp:posOffset>723</wp:posOffset>
                </wp:positionV>
                <wp:extent cx="2530431" cy="1237593"/>
                <wp:effectExtent l="0" t="0" r="2286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0431" cy="1237593"/>
                        </a:xfrm>
                        <a:prstGeom prst="rect">
                          <a:avLst/>
                        </a:prstGeom>
                        <a:noFill/>
                        <a:ln w="12700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AD22C50" w14:textId="185C3403" w:rsidR="004D2F6A" w:rsidRPr="00946592" w:rsidRDefault="000E0E8D" w:rsidP="004D2F6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noProof/>
                                <w:lang w:eastAsia="en-GB" w:bidi="ar-SA"/>
                              </w:rPr>
                              <w:drawing>
                                <wp:inline distT="0" distB="0" distL="0" distR="0" wp14:anchorId="24441E59" wp14:editId="249F5F7E">
                                  <wp:extent cx="2334260" cy="887095"/>
                                  <wp:effectExtent l="0" t="0" r="8890" b="8255"/>
                                  <wp:docPr id="120" name="Picture 120" descr="VR_logo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0" name="Picture 120" descr="VR_logo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34260" cy="8870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D4460B" id="Rectangle 2" o:spid="_x0000_s1026" style="position:absolute;margin-left:148.05pt;margin-top:.05pt;width:199.25pt;height:97.45pt;z-index:251724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" filled="f" strokecolor="#243f60 [1604]" strokeweight="1pt">
                <v:stroke dashstyle="1 1"/>
                <v:textbox>
                  <w:txbxContent>
                    <w:p w14:paraId="6AD22C50" w14:textId="185C3403" w:rsidR="004D2F6A" w:rsidRPr="00946592" w:rsidRDefault="000E0E8D" w:rsidP="004D2F6A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noProof/>
                          <w:lang w:eastAsia="en-GB" w:bidi="ar-SA"/>
                        </w:rPr>
                        <w:drawing>
                          <wp:inline distT="0" distB="0" distL="0" distR="0" wp14:anchorId="24441E59" wp14:editId="249F5F7E">
                            <wp:extent cx="2334260" cy="887095"/>
                            <wp:effectExtent l="0" t="0" r="8890" b="8255"/>
                            <wp:docPr id="120" name="Picture 120" descr="VR_logo.jp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0" name="Picture 120" descr="VR_logo.jp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34260" cy="8870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CF6A25">
        <w:rPr>
          <w:color w:val="632423" w:themeColor="accent2" w:themeShade="80"/>
        </w:rPr>
        <w:t>TUPE</w:t>
      </w:r>
    </w:p>
    <w:p w14:paraId="1D58E3B6" w14:textId="77777777" w:rsidR="00F410B9" w:rsidRPr="00486870" w:rsidRDefault="00F410B9" w:rsidP="00B92DD3">
      <w:pPr>
        <w:pStyle w:val="aTitle"/>
        <w:rPr>
          <w:color w:val="632423" w:themeColor="accent2" w:themeShade="80"/>
          <w:sz w:val="48"/>
          <w:szCs w:val="48"/>
        </w:rPr>
      </w:pPr>
      <w:r w:rsidRPr="00486870">
        <w:rPr>
          <w:color w:val="632423" w:themeColor="accent2" w:themeShade="80"/>
          <w:sz w:val="48"/>
          <w:szCs w:val="48"/>
        </w:rPr>
        <w:t>GUIDANCE</w:t>
      </w:r>
    </w:p>
    <w:p w14:paraId="76247755" w14:textId="77777777" w:rsidR="005C325D" w:rsidRPr="008B7323" w:rsidRDefault="005C325D" w:rsidP="00E86306">
      <w:pPr>
        <w:pStyle w:val="aTitle"/>
        <w:ind w:right="3662"/>
        <w:rPr>
          <w:noProof/>
          <w:sz w:val="40"/>
          <w:szCs w:val="40"/>
          <w:lang w:eastAsia="en-GB" w:bidi="ar-SA"/>
        </w:rPr>
      </w:pPr>
    </w:p>
    <w:p w14:paraId="7002FD40" w14:textId="77777777" w:rsidR="00385A20" w:rsidRDefault="00CF6A25" w:rsidP="008B7323">
      <w:pPr>
        <w:pStyle w:val="Heading1"/>
        <w:rPr>
          <w:noProof/>
          <w:lang w:eastAsia="en-GB" w:bidi="ar-SA"/>
        </w:rPr>
      </w:pPr>
      <w:r>
        <w:rPr>
          <w:noProof/>
          <w:lang w:eastAsia="en-GB" w:bidi="ar-SA"/>
        </w:rPr>
        <w:t>Introduction</w:t>
      </w:r>
    </w:p>
    <w:p w14:paraId="3DBA6661" w14:textId="77777777" w:rsidR="00CF6A25" w:rsidRDefault="00F26772" w:rsidP="00CF6A25">
      <w:pPr>
        <w:rPr>
          <w:lang w:eastAsia="en-GB" w:bidi="ar-SA"/>
        </w:rPr>
      </w:pPr>
      <w:r>
        <w:rPr>
          <w:lang w:eastAsia="en-GB" w:bidi="ar-SA"/>
        </w:rPr>
        <w:t>TUPE refers to the Transfer of Undertakings (Protection of Employment) Regulations 2006 as amended by t</w:t>
      </w:r>
      <w:r w:rsidR="00CF6A25">
        <w:rPr>
          <w:lang w:eastAsia="en-GB" w:bidi="ar-SA"/>
        </w:rPr>
        <w:t>he Collective Redundancies and Transfer of Undertakings (Protection of Employment) (Amendment) Regulations 201</w:t>
      </w:r>
      <w:r>
        <w:rPr>
          <w:lang w:eastAsia="en-GB" w:bidi="ar-SA"/>
        </w:rPr>
        <w:t xml:space="preserve">4 and </w:t>
      </w:r>
      <w:r w:rsidR="00C72F5E">
        <w:rPr>
          <w:lang w:eastAsia="en-GB" w:bidi="ar-SA"/>
        </w:rPr>
        <w:t xml:space="preserve">protect employee rights in connection with the transfer of an undertaking. </w:t>
      </w:r>
      <w:r w:rsidR="00A61CC2">
        <w:rPr>
          <w:lang w:eastAsia="en-GB" w:bidi="ar-SA"/>
        </w:rPr>
        <w:t>T</w:t>
      </w:r>
      <w:r>
        <w:rPr>
          <w:lang w:eastAsia="en-GB" w:bidi="ar-SA"/>
        </w:rPr>
        <w:t>UPE</w:t>
      </w:r>
      <w:r w:rsidR="00A61CC2">
        <w:rPr>
          <w:lang w:eastAsia="en-GB" w:bidi="ar-SA"/>
        </w:rPr>
        <w:t xml:space="preserve"> rules protect employees’ rights when the organisation or service they work for transfers to a new employer. </w:t>
      </w:r>
    </w:p>
    <w:p w14:paraId="32F660E5" w14:textId="77777777" w:rsidR="00A61CC2" w:rsidRDefault="00A61CC2" w:rsidP="00CF6A25">
      <w:pPr>
        <w:rPr>
          <w:lang w:eastAsia="en-GB" w:bidi="ar-SA"/>
        </w:rPr>
      </w:pPr>
    </w:p>
    <w:p w14:paraId="30EFF9E0" w14:textId="77777777" w:rsidR="00A61CC2" w:rsidRDefault="00A61CC2" w:rsidP="00CF6A25">
      <w:pPr>
        <w:rPr>
          <w:lang w:eastAsia="en-GB" w:bidi="ar-SA"/>
        </w:rPr>
      </w:pPr>
      <w:r>
        <w:rPr>
          <w:lang w:eastAsia="en-GB" w:bidi="ar-SA"/>
        </w:rPr>
        <w:t>There are implications for both the employer who is making the transfer (transfer</w:t>
      </w:r>
      <w:r w:rsidR="00023F28">
        <w:rPr>
          <w:lang w:eastAsia="en-GB" w:bidi="ar-SA"/>
        </w:rPr>
        <w:t>or</w:t>
      </w:r>
      <w:r>
        <w:rPr>
          <w:lang w:eastAsia="en-GB" w:bidi="ar-SA"/>
        </w:rPr>
        <w:t>) and the new employer who is taking on the transfer (transfer</w:t>
      </w:r>
      <w:r w:rsidR="00023F28">
        <w:rPr>
          <w:lang w:eastAsia="en-GB" w:bidi="ar-SA"/>
        </w:rPr>
        <w:t>ee</w:t>
      </w:r>
      <w:r>
        <w:rPr>
          <w:lang w:eastAsia="en-GB" w:bidi="ar-SA"/>
        </w:rPr>
        <w:t xml:space="preserve">). </w:t>
      </w:r>
    </w:p>
    <w:p w14:paraId="0151C133" w14:textId="77777777" w:rsidR="00A61CC2" w:rsidRDefault="00A61CC2" w:rsidP="00CF6A25">
      <w:pPr>
        <w:rPr>
          <w:lang w:eastAsia="en-GB" w:bidi="ar-SA"/>
        </w:rPr>
      </w:pPr>
    </w:p>
    <w:p w14:paraId="25DDF4D0" w14:textId="26D5F67D" w:rsidR="006E4379" w:rsidRDefault="00A61CC2" w:rsidP="00CF6A25">
      <w:pPr>
        <w:rPr>
          <w:lang w:eastAsia="en-GB" w:bidi="ar-SA"/>
        </w:rPr>
      </w:pPr>
      <w:r>
        <w:rPr>
          <w:lang w:eastAsia="en-GB" w:bidi="ar-SA"/>
        </w:rPr>
        <w:t>This document provides guidance on how to manage the transfer of staff protected by TUPE, either in or out of the school.</w:t>
      </w:r>
      <w:r w:rsidR="00F26772">
        <w:rPr>
          <w:lang w:eastAsia="en-GB" w:bidi="ar-SA"/>
        </w:rPr>
        <w:t xml:space="preserve"> Headteacher</w:t>
      </w:r>
      <w:r w:rsidR="00886561">
        <w:rPr>
          <w:lang w:eastAsia="en-GB" w:bidi="ar-SA"/>
        </w:rPr>
        <w:t>s</w:t>
      </w:r>
      <w:r w:rsidR="00F26772">
        <w:rPr>
          <w:lang w:eastAsia="en-GB" w:bidi="ar-SA"/>
        </w:rPr>
        <w:t xml:space="preserve"> </w:t>
      </w:r>
      <w:r w:rsidR="00886561">
        <w:rPr>
          <w:lang w:eastAsia="en-GB" w:bidi="ar-SA"/>
        </w:rPr>
        <w:t>should contact HR Advice and Support as soon as possible when</w:t>
      </w:r>
      <w:r w:rsidR="00CB3A6C">
        <w:rPr>
          <w:lang w:eastAsia="en-GB" w:bidi="ar-SA"/>
        </w:rPr>
        <w:t xml:space="preserve"> there may be a po</w:t>
      </w:r>
      <w:r w:rsidR="007A7ECD">
        <w:rPr>
          <w:lang w:eastAsia="en-GB" w:bidi="ar-SA"/>
        </w:rPr>
        <w:t>tential</w:t>
      </w:r>
      <w:r w:rsidR="00CB3A6C">
        <w:rPr>
          <w:lang w:eastAsia="en-GB" w:bidi="ar-SA"/>
        </w:rPr>
        <w:t xml:space="preserve"> transfer of staff in or out of the school.</w:t>
      </w:r>
      <w:r w:rsidR="007A781C">
        <w:rPr>
          <w:lang w:eastAsia="en-GB" w:bidi="ar-SA"/>
        </w:rPr>
        <w:t xml:space="preserve"> </w:t>
      </w:r>
    </w:p>
    <w:p w14:paraId="2585FA02" w14:textId="77777777" w:rsidR="006E4379" w:rsidRDefault="006E4379" w:rsidP="00CF6A25">
      <w:pPr>
        <w:rPr>
          <w:lang w:eastAsia="en-GB" w:bidi="ar-SA"/>
        </w:rPr>
      </w:pPr>
    </w:p>
    <w:p w14:paraId="386D6532" w14:textId="32E8F24A" w:rsidR="00A61CC2" w:rsidRDefault="006E4379" w:rsidP="00CF6A25">
      <w:pPr>
        <w:rPr>
          <w:lang w:eastAsia="en-GB" w:bidi="ar-SA"/>
        </w:rPr>
      </w:pPr>
      <w:r>
        <w:rPr>
          <w:lang w:eastAsia="en-GB" w:bidi="ar-SA"/>
        </w:rPr>
        <w:t>If the school does not have an SLA with Payroll and Employee services, where this is referenced in this guidance</w:t>
      </w:r>
      <w:r w:rsidR="00C74834">
        <w:rPr>
          <w:lang w:eastAsia="en-GB" w:bidi="ar-SA"/>
        </w:rPr>
        <w:t>,</w:t>
      </w:r>
      <w:r>
        <w:rPr>
          <w:lang w:eastAsia="en-GB" w:bidi="ar-SA"/>
        </w:rPr>
        <w:t xml:space="preserve"> please contact your own payroll provider.</w:t>
      </w:r>
    </w:p>
    <w:p w14:paraId="57CFF453" w14:textId="77777777" w:rsidR="00C72F5E" w:rsidRDefault="00C72F5E" w:rsidP="00CF6A25">
      <w:pPr>
        <w:rPr>
          <w:lang w:eastAsia="en-GB" w:bidi="ar-SA"/>
        </w:rPr>
      </w:pPr>
    </w:p>
    <w:p w14:paraId="5FDCEC31" w14:textId="77777777" w:rsidR="00C72F5E" w:rsidRDefault="00C72F5E" w:rsidP="00C72F5E">
      <w:pPr>
        <w:pStyle w:val="Heading1"/>
        <w:rPr>
          <w:lang w:eastAsia="en-GB" w:bidi="ar-SA"/>
        </w:rPr>
      </w:pPr>
      <w:r>
        <w:rPr>
          <w:lang w:eastAsia="en-GB" w:bidi="ar-SA"/>
        </w:rPr>
        <w:t>Principles of TUPE</w:t>
      </w:r>
    </w:p>
    <w:p w14:paraId="395DFE0D" w14:textId="16EB6E71" w:rsidR="00F26772" w:rsidRDefault="00D423D1" w:rsidP="00F26772">
      <w:pPr>
        <w:rPr>
          <w:lang w:eastAsia="en-GB" w:bidi="ar-SA"/>
        </w:rPr>
      </w:pPr>
      <w:r>
        <w:rPr>
          <w:lang w:eastAsia="en-GB" w:bidi="ar-SA"/>
        </w:rPr>
        <w:t xml:space="preserve">TUPE regulations preserve the continuity of employment and terms and conditions of employees who transfer to the new employer when a relevant transfer takes place. </w:t>
      </w:r>
      <w:r w:rsidR="00886561">
        <w:rPr>
          <w:lang w:eastAsia="en-GB" w:bidi="ar-SA"/>
        </w:rPr>
        <w:t xml:space="preserve">TUPE regulations place a </w:t>
      </w:r>
      <w:r w:rsidR="005E3C4C">
        <w:rPr>
          <w:lang w:eastAsia="en-GB" w:bidi="ar-SA"/>
        </w:rPr>
        <w:t>d</w:t>
      </w:r>
      <w:r w:rsidR="00886561">
        <w:rPr>
          <w:lang w:eastAsia="en-GB" w:bidi="ar-SA"/>
        </w:rPr>
        <w:t xml:space="preserve">uty on both the current employer (transferor) and the new employer (transferee) to </w:t>
      </w:r>
      <w:r w:rsidR="005E3C4C">
        <w:rPr>
          <w:lang w:eastAsia="en-GB" w:bidi="ar-SA"/>
        </w:rPr>
        <w:t>inform</w:t>
      </w:r>
      <w:r w:rsidR="00886561">
        <w:rPr>
          <w:lang w:eastAsia="en-GB" w:bidi="ar-SA"/>
        </w:rPr>
        <w:t xml:space="preserve"> employees and their representatives </w:t>
      </w:r>
      <w:r w:rsidR="005E3C4C" w:rsidRPr="00845851">
        <w:rPr>
          <w:lang w:eastAsia="en-GB" w:bidi="ar-SA"/>
        </w:rPr>
        <w:t xml:space="preserve">that a transfer is to take place, as well as the implications of the transfer and </w:t>
      </w:r>
      <w:r w:rsidR="005E3C4C">
        <w:rPr>
          <w:lang w:eastAsia="en-GB" w:bidi="ar-SA"/>
        </w:rPr>
        <w:t xml:space="preserve">consult on </w:t>
      </w:r>
      <w:r w:rsidR="005E3C4C" w:rsidRPr="00845851">
        <w:rPr>
          <w:lang w:eastAsia="en-GB" w:bidi="ar-SA"/>
        </w:rPr>
        <w:t xml:space="preserve">any measures which </w:t>
      </w:r>
      <w:r w:rsidR="005E3C4C">
        <w:rPr>
          <w:lang w:eastAsia="en-GB" w:bidi="ar-SA"/>
        </w:rPr>
        <w:t>may be taken</w:t>
      </w:r>
      <w:r w:rsidR="00886561">
        <w:rPr>
          <w:lang w:eastAsia="en-GB" w:bidi="ar-SA"/>
        </w:rPr>
        <w:t xml:space="preserve"> in connection with the transfer.</w:t>
      </w:r>
      <w:r w:rsidR="006D735C">
        <w:rPr>
          <w:lang w:eastAsia="en-GB" w:bidi="ar-SA"/>
        </w:rPr>
        <w:t xml:space="preserve"> </w:t>
      </w:r>
      <w:r w:rsidR="00023F28">
        <w:rPr>
          <w:lang w:eastAsia="en-GB" w:bidi="ar-SA"/>
        </w:rPr>
        <w:t xml:space="preserve">The transferor </w:t>
      </w:r>
      <w:r w:rsidR="00D62D08">
        <w:rPr>
          <w:lang w:eastAsia="en-GB" w:bidi="ar-SA"/>
        </w:rPr>
        <w:t>must also provide employee information to the transferee in advance of the transfer date.</w:t>
      </w:r>
    </w:p>
    <w:p w14:paraId="65E801ED" w14:textId="77777777" w:rsidR="00F26772" w:rsidRPr="00F26772" w:rsidRDefault="00F26772" w:rsidP="00F26772">
      <w:pPr>
        <w:rPr>
          <w:lang w:eastAsia="en-GB" w:bidi="ar-SA"/>
        </w:rPr>
      </w:pPr>
    </w:p>
    <w:p w14:paraId="109ECCB3" w14:textId="77777777" w:rsidR="00C72F5E" w:rsidRPr="00D7760E" w:rsidRDefault="00C72F5E" w:rsidP="00C72F5E">
      <w:pPr>
        <w:pStyle w:val="Heading2"/>
        <w:rPr>
          <w:lang w:eastAsia="en-GB" w:bidi="ar-SA"/>
        </w:rPr>
      </w:pPr>
      <w:r w:rsidRPr="00D7760E">
        <w:rPr>
          <w:lang w:eastAsia="en-GB" w:bidi="ar-SA"/>
        </w:rPr>
        <w:t>When does TUPE apply?</w:t>
      </w:r>
    </w:p>
    <w:p w14:paraId="371F9C36" w14:textId="77777777" w:rsidR="00C72F5E" w:rsidRDefault="00886561" w:rsidP="00C72F5E">
      <w:pPr>
        <w:rPr>
          <w:lang w:eastAsia="en-GB" w:bidi="ar-SA"/>
        </w:rPr>
      </w:pPr>
      <w:r>
        <w:rPr>
          <w:lang w:eastAsia="en-GB" w:bidi="ar-SA"/>
        </w:rPr>
        <w:t>TUPE</w:t>
      </w:r>
      <w:r w:rsidR="00A61CC2">
        <w:rPr>
          <w:lang w:eastAsia="en-GB" w:bidi="ar-SA"/>
        </w:rPr>
        <w:t xml:space="preserve"> regulations apply:</w:t>
      </w:r>
    </w:p>
    <w:p w14:paraId="52B88B66" w14:textId="77777777" w:rsidR="00A61CC2" w:rsidRDefault="00A61CC2" w:rsidP="00C72F5E">
      <w:pPr>
        <w:rPr>
          <w:lang w:eastAsia="en-GB" w:bidi="ar-SA"/>
        </w:rPr>
      </w:pPr>
    </w:p>
    <w:p w14:paraId="0CC8A259" w14:textId="77777777" w:rsidR="00A61CC2" w:rsidRDefault="00D423D1" w:rsidP="00D423D1">
      <w:pPr>
        <w:pStyle w:val="ListParagraph"/>
        <w:numPr>
          <w:ilvl w:val="0"/>
          <w:numId w:val="25"/>
        </w:numPr>
        <w:rPr>
          <w:lang w:eastAsia="en-GB" w:bidi="ar-SA"/>
        </w:rPr>
      </w:pPr>
      <w:r>
        <w:rPr>
          <w:lang w:eastAsia="en-GB" w:bidi="ar-SA"/>
        </w:rPr>
        <w:t>where services transfer from the school</w:t>
      </w:r>
      <w:r w:rsidR="00432189">
        <w:rPr>
          <w:lang w:eastAsia="en-GB" w:bidi="ar-SA"/>
        </w:rPr>
        <w:t xml:space="preserve"> </w:t>
      </w:r>
      <w:r>
        <w:rPr>
          <w:lang w:eastAsia="en-GB" w:bidi="ar-SA"/>
        </w:rPr>
        <w:t>to an external contractor or organisation (e.g. school catering or cleaning)</w:t>
      </w:r>
    </w:p>
    <w:p w14:paraId="0808DF17" w14:textId="77777777" w:rsidR="00D423D1" w:rsidRDefault="00D423D1" w:rsidP="00D423D1">
      <w:pPr>
        <w:pStyle w:val="ListParagraph"/>
        <w:numPr>
          <w:ilvl w:val="0"/>
          <w:numId w:val="25"/>
        </w:numPr>
        <w:rPr>
          <w:lang w:eastAsia="en-GB" w:bidi="ar-SA"/>
        </w:rPr>
      </w:pPr>
      <w:r>
        <w:rPr>
          <w:lang w:eastAsia="en-GB" w:bidi="ar-SA"/>
        </w:rPr>
        <w:t>where services transfer in to the school from an external contractor or organisation (e.g. school catering or cleaning)</w:t>
      </w:r>
    </w:p>
    <w:p w14:paraId="57633604" w14:textId="77777777" w:rsidR="00D423D1" w:rsidRDefault="00827523" w:rsidP="00D423D1">
      <w:pPr>
        <w:pStyle w:val="ListParagraph"/>
        <w:numPr>
          <w:ilvl w:val="0"/>
          <w:numId w:val="25"/>
        </w:numPr>
        <w:rPr>
          <w:lang w:eastAsia="en-GB" w:bidi="ar-SA"/>
        </w:rPr>
      </w:pPr>
      <w:r>
        <w:rPr>
          <w:lang w:eastAsia="en-GB" w:bidi="ar-SA"/>
        </w:rPr>
        <w:t xml:space="preserve">to </w:t>
      </w:r>
      <w:r w:rsidR="00D423D1">
        <w:rPr>
          <w:lang w:eastAsia="en-GB" w:bidi="ar-SA"/>
        </w:rPr>
        <w:t>a subsequent transfer (e.g. where services transfer from the first external contractor to a different external contractor)</w:t>
      </w:r>
    </w:p>
    <w:p w14:paraId="141C2E4B" w14:textId="77777777" w:rsidR="006D735C" w:rsidRDefault="00D423D1" w:rsidP="00D423D1">
      <w:pPr>
        <w:pStyle w:val="ListParagraph"/>
        <w:numPr>
          <w:ilvl w:val="0"/>
          <w:numId w:val="25"/>
        </w:numPr>
        <w:rPr>
          <w:lang w:eastAsia="en-GB" w:bidi="ar-SA"/>
        </w:rPr>
      </w:pPr>
      <w:r>
        <w:rPr>
          <w:lang w:eastAsia="en-GB" w:bidi="ar-SA"/>
        </w:rPr>
        <w:t xml:space="preserve">where a school converts to an Academy </w:t>
      </w:r>
    </w:p>
    <w:p w14:paraId="1828A9DF" w14:textId="77777777" w:rsidR="00D423D1" w:rsidRDefault="006D735C" w:rsidP="00D423D1">
      <w:pPr>
        <w:pStyle w:val="ListParagraph"/>
        <w:numPr>
          <w:ilvl w:val="0"/>
          <w:numId w:val="25"/>
        </w:numPr>
        <w:rPr>
          <w:lang w:eastAsia="en-GB" w:bidi="ar-SA"/>
        </w:rPr>
      </w:pPr>
      <w:r>
        <w:rPr>
          <w:lang w:eastAsia="en-GB" w:bidi="ar-SA"/>
        </w:rPr>
        <w:t xml:space="preserve">where a school </w:t>
      </w:r>
      <w:r w:rsidR="00D423D1">
        <w:rPr>
          <w:lang w:eastAsia="en-GB" w:bidi="ar-SA"/>
        </w:rPr>
        <w:t xml:space="preserve">or </w:t>
      </w:r>
      <w:r>
        <w:rPr>
          <w:lang w:eastAsia="en-GB" w:bidi="ar-SA"/>
        </w:rPr>
        <w:t xml:space="preserve">Academy </w:t>
      </w:r>
      <w:r w:rsidR="00D423D1">
        <w:rPr>
          <w:lang w:eastAsia="en-GB" w:bidi="ar-SA"/>
        </w:rPr>
        <w:t>transfers to a multi academy trust (MAT)</w:t>
      </w:r>
    </w:p>
    <w:p w14:paraId="6B099372" w14:textId="77777777" w:rsidR="00BA469B" w:rsidRDefault="00BA469B" w:rsidP="00BA469B">
      <w:pPr>
        <w:pStyle w:val="ListParagraph"/>
        <w:rPr>
          <w:lang w:eastAsia="en-GB" w:bidi="ar-SA"/>
        </w:rPr>
      </w:pPr>
    </w:p>
    <w:p w14:paraId="696A6889" w14:textId="77777777" w:rsidR="00BA469B" w:rsidRPr="00D7760E" w:rsidRDefault="00BA469B" w:rsidP="00BA469B">
      <w:pPr>
        <w:pStyle w:val="Heading2"/>
        <w:rPr>
          <w:lang w:eastAsia="en-GB" w:bidi="ar-SA"/>
        </w:rPr>
      </w:pPr>
      <w:r w:rsidRPr="00D7760E">
        <w:rPr>
          <w:lang w:eastAsia="en-GB" w:bidi="ar-SA"/>
        </w:rPr>
        <w:t>Who transfers to the new employer?</w:t>
      </w:r>
    </w:p>
    <w:p w14:paraId="32392DCE" w14:textId="3EA8E193" w:rsidR="00BA469B" w:rsidRDefault="00BA469B" w:rsidP="00BA469B">
      <w:pPr>
        <w:rPr>
          <w:lang w:eastAsia="en-GB" w:bidi="ar-SA"/>
        </w:rPr>
      </w:pPr>
      <w:r>
        <w:rPr>
          <w:lang w:eastAsia="en-GB" w:bidi="ar-SA"/>
        </w:rPr>
        <w:t xml:space="preserve">Anyone employed </w:t>
      </w:r>
      <w:r w:rsidR="006E408B">
        <w:rPr>
          <w:lang w:eastAsia="en-GB" w:bidi="ar-SA"/>
        </w:rPr>
        <w:t>in a</w:t>
      </w:r>
      <w:r>
        <w:rPr>
          <w:lang w:eastAsia="en-GB" w:bidi="ar-SA"/>
        </w:rPr>
        <w:t xml:space="preserve"> school</w:t>
      </w:r>
      <w:r w:rsidR="006E408B">
        <w:rPr>
          <w:lang w:eastAsia="en-GB" w:bidi="ar-SA"/>
        </w:rPr>
        <w:t>/organisation</w:t>
      </w:r>
      <w:r>
        <w:rPr>
          <w:lang w:eastAsia="en-GB" w:bidi="ar-SA"/>
        </w:rPr>
        <w:t xml:space="preserve"> </w:t>
      </w:r>
      <w:r w:rsidR="00665BDA">
        <w:rPr>
          <w:lang w:eastAsia="en-GB" w:bidi="ar-SA"/>
        </w:rPr>
        <w:t>or</w:t>
      </w:r>
      <w:r w:rsidR="00AD0DA5">
        <w:rPr>
          <w:lang w:eastAsia="en-GB" w:bidi="ar-SA"/>
        </w:rPr>
        <w:t>,</w:t>
      </w:r>
      <w:r w:rsidR="00665BDA">
        <w:rPr>
          <w:lang w:eastAsia="en-GB" w:bidi="ar-SA"/>
        </w:rPr>
        <w:t xml:space="preserve"> assigned to a service</w:t>
      </w:r>
      <w:r w:rsidR="00AD0DA5">
        <w:rPr>
          <w:lang w:eastAsia="en-GB" w:bidi="ar-SA"/>
        </w:rPr>
        <w:t xml:space="preserve"> or part of a service</w:t>
      </w:r>
      <w:r w:rsidR="00665BDA">
        <w:rPr>
          <w:lang w:eastAsia="en-GB" w:bidi="ar-SA"/>
        </w:rPr>
        <w:t xml:space="preserve"> that is transferring</w:t>
      </w:r>
      <w:r w:rsidR="00AD0DA5">
        <w:rPr>
          <w:lang w:eastAsia="en-GB" w:bidi="ar-SA"/>
        </w:rPr>
        <w:t>, and who are</w:t>
      </w:r>
      <w:r w:rsidR="00665BDA">
        <w:rPr>
          <w:lang w:eastAsia="en-GB" w:bidi="ar-SA"/>
        </w:rPr>
        <w:t xml:space="preserve"> </w:t>
      </w:r>
      <w:r w:rsidR="00AD0DA5">
        <w:rPr>
          <w:lang w:eastAsia="en-GB" w:bidi="ar-SA"/>
        </w:rPr>
        <w:t xml:space="preserve">in permanent or temporary posts </w:t>
      </w:r>
      <w:r>
        <w:rPr>
          <w:lang w:eastAsia="en-GB" w:bidi="ar-SA"/>
        </w:rPr>
        <w:t>at the point of transfer are included in the transfer. Apprentices and absent employees are included.</w:t>
      </w:r>
      <w:r w:rsidR="00665BDA">
        <w:rPr>
          <w:lang w:eastAsia="en-GB" w:bidi="ar-SA"/>
        </w:rPr>
        <w:t xml:space="preserve"> </w:t>
      </w:r>
    </w:p>
    <w:p w14:paraId="569F101A" w14:textId="77777777" w:rsidR="00BA469B" w:rsidRDefault="00BA469B" w:rsidP="00BA469B">
      <w:pPr>
        <w:rPr>
          <w:lang w:eastAsia="en-GB" w:bidi="ar-SA"/>
        </w:rPr>
      </w:pPr>
    </w:p>
    <w:p w14:paraId="2F398E3D" w14:textId="77777777" w:rsidR="00BA469B" w:rsidRDefault="00BA469B" w:rsidP="00BA469B">
      <w:pPr>
        <w:rPr>
          <w:lang w:eastAsia="en-GB" w:bidi="ar-SA"/>
        </w:rPr>
      </w:pPr>
      <w:r>
        <w:rPr>
          <w:lang w:eastAsia="en-GB" w:bidi="ar-SA"/>
        </w:rPr>
        <w:t>Casual/supply workers may transfer but this needs to be considered on a case by case basis.</w:t>
      </w:r>
    </w:p>
    <w:p w14:paraId="4E127700" w14:textId="5C548CCB" w:rsidR="00AE2ED1" w:rsidRDefault="00BA469B" w:rsidP="00BA469B">
      <w:pPr>
        <w:rPr>
          <w:lang w:eastAsia="en-GB" w:bidi="ar-SA"/>
        </w:rPr>
      </w:pPr>
      <w:r>
        <w:rPr>
          <w:lang w:eastAsia="en-GB" w:bidi="ar-SA"/>
        </w:rPr>
        <w:t xml:space="preserve">If an employee’s contract ends before the date of transfer, then they will not transfer. Agency workers are not </w:t>
      </w:r>
      <w:r w:rsidR="005E3C4C">
        <w:rPr>
          <w:lang w:eastAsia="en-GB" w:bidi="ar-SA"/>
        </w:rPr>
        <w:t xml:space="preserve">ordinarily </w:t>
      </w:r>
      <w:r>
        <w:rPr>
          <w:lang w:eastAsia="en-GB" w:bidi="ar-SA"/>
        </w:rPr>
        <w:t xml:space="preserve">employees and will not normally transfer but this needs to be discussed with the </w:t>
      </w:r>
      <w:r w:rsidR="00F27F8C">
        <w:rPr>
          <w:lang w:eastAsia="en-GB" w:bidi="ar-SA"/>
        </w:rPr>
        <w:t xml:space="preserve">transferor or </w:t>
      </w:r>
      <w:r w:rsidR="00BC7673">
        <w:rPr>
          <w:lang w:eastAsia="en-GB" w:bidi="ar-SA"/>
        </w:rPr>
        <w:t>t</w:t>
      </w:r>
      <w:r>
        <w:rPr>
          <w:lang w:eastAsia="en-GB" w:bidi="ar-SA"/>
        </w:rPr>
        <w:t>ransferee.</w:t>
      </w:r>
    </w:p>
    <w:p w14:paraId="356C27B9" w14:textId="77777777" w:rsidR="00C72F5E" w:rsidRDefault="00C72F5E" w:rsidP="00CF6A25">
      <w:pPr>
        <w:rPr>
          <w:lang w:eastAsia="en-GB" w:bidi="ar-SA"/>
        </w:rPr>
      </w:pPr>
    </w:p>
    <w:p w14:paraId="113CAD31" w14:textId="77777777" w:rsidR="000455F7" w:rsidRPr="008A77F2" w:rsidRDefault="000455F7" w:rsidP="000455F7">
      <w:pPr>
        <w:pStyle w:val="Heading2"/>
        <w:rPr>
          <w:lang w:eastAsia="en-GB" w:bidi="ar-SA"/>
        </w:rPr>
      </w:pPr>
      <w:r w:rsidRPr="008A77F2">
        <w:rPr>
          <w:lang w:eastAsia="en-GB" w:bidi="ar-SA"/>
        </w:rPr>
        <w:t>What transfers to the new employer?</w:t>
      </w:r>
    </w:p>
    <w:p w14:paraId="5FCCE121" w14:textId="77777777" w:rsidR="000455F7" w:rsidRDefault="000455F7" w:rsidP="000455F7">
      <w:pPr>
        <w:rPr>
          <w:lang w:eastAsia="en-GB" w:bidi="ar-SA"/>
        </w:rPr>
      </w:pPr>
      <w:r>
        <w:rPr>
          <w:lang w:eastAsia="en-GB" w:bidi="ar-SA"/>
        </w:rPr>
        <w:t>TUPE protects the employment contract and any liabilities associate</w:t>
      </w:r>
      <w:r w:rsidR="00432189">
        <w:rPr>
          <w:lang w:eastAsia="en-GB" w:bidi="ar-SA"/>
        </w:rPr>
        <w:t>d</w:t>
      </w:r>
      <w:r>
        <w:rPr>
          <w:lang w:eastAsia="en-GB" w:bidi="ar-SA"/>
        </w:rPr>
        <w:t xml:space="preserve"> with the contract, including:</w:t>
      </w:r>
    </w:p>
    <w:p w14:paraId="51E58EE5" w14:textId="77777777" w:rsidR="000455F7" w:rsidRDefault="000455F7" w:rsidP="000455F7">
      <w:pPr>
        <w:rPr>
          <w:lang w:eastAsia="en-GB" w:bidi="ar-SA"/>
        </w:rPr>
      </w:pPr>
    </w:p>
    <w:p w14:paraId="6EA7D436" w14:textId="77777777" w:rsidR="000455F7" w:rsidRDefault="000455F7" w:rsidP="000455F7">
      <w:pPr>
        <w:pStyle w:val="ListParagraph"/>
        <w:numPr>
          <w:ilvl w:val="0"/>
          <w:numId w:val="21"/>
        </w:numPr>
        <w:rPr>
          <w:lang w:eastAsia="en-GB" w:bidi="ar-SA"/>
        </w:rPr>
      </w:pPr>
      <w:r>
        <w:rPr>
          <w:lang w:eastAsia="en-GB" w:bidi="ar-SA"/>
        </w:rPr>
        <w:t>Terms and conditions of employment</w:t>
      </w:r>
      <w:r w:rsidR="00023F28">
        <w:rPr>
          <w:lang w:eastAsia="en-GB" w:bidi="ar-SA"/>
        </w:rPr>
        <w:t>, both national and local;</w:t>
      </w:r>
    </w:p>
    <w:p w14:paraId="37850079" w14:textId="77777777" w:rsidR="000455F7" w:rsidRDefault="000455F7" w:rsidP="000455F7">
      <w:pPr>
        <w:pStyle w:val="ListParagraph"/>
        <w:numPr>
          <w:ilvl w:val="0"/>
          <w:numId w:val="21"/>
        </w:numPr>
        <w:rPr>
          <w:lang w:eastAsia="en-GB" w:bidi="ar-SA"/>
        </w:rPr>
      </w:pPr>
      <w:r>
        <w:rPr>
          <w:lang w:eastAsia="en-GB" w:bidi="ar-SA"/>
        </w:rPr>
        <w:t>Continuity of service;</w:t>
      </w:r>
    </w:p>
    <w:p w14:paraId="046FE852" w14:textId="0E265CB2" w:rsidR="000455F7" w:rsidRDefault="005E3C4C" w:rsidP="000455F7">
      <w:pPr>
        <w:pStyle w:val="ListParagraph"/>
        <w:numPr>
          <w:ilvl w:val="0"/>
          <w:numId w:val="21"/>
        </w:numPr>
        <w:rPr>
          <w:lang w:eastAsia="en-GB" w:bidi="ar-SA"/>
        </w:rPr>
      </w:pPr>
      <w:r>
        <w:rPr>
          <w:lang w:eastAsia="en-GB" w:bidi="ar-SA"/>
        </w:rPr>
        <w:t>C</w:t>
      </w:r>
      <w:r w:rsidR="000455F7">
        <w:rPr>
          <w:lang w:eastAsia="en-GB" w:bidi="ar-SA"/>
        </w:rPr>
        <w:t xml:space="preserve">laims </w:t>
      </w:r>
      <w:r>
        <w:rPr>
          <w:lang w:eastAsia="en-GB" w:bidi="ar-SA"/>
        </w:rPr>
        <w:t xml:space="preserve">arising out </w:t>
      </w:r>
      <w:r w:rsidR="00001089">
        <w:rPr>
          <w:lang w:eastAsia="en-GB" w:bidi="ar-SA"/>
        </w:rPr>
        <w:t>of</w:t>
      </w:r>
      <w:r w:rsidR="000455F7">
        <w:rPr>
          <w:lang w:eastAsia="en-GB" w:bidi="ar-SA"/>
        </w:rPr>
        <w:t xml:space="preserve"> acts or omissions by the transferor</w:t>
      </w:r>
      <w:r>
        <w:rPr>
          <w:lang w:eastAsia="en-GB" w:bidi="ar-SA"/>
        </w:rPr>
        <w:t xml:space="preserve"> including </w:t>
      </w:r>
      <w:r w:rsidRPr="00614DF8">
        <w:rPr>
          <w:lang w:eastAsia="en-GB" w:bidi="ar-SA"/>
        </w:rPr>
        <w:t>liabilities arising from the contract of employment e.g. unfair dismissal, equal pay and discrimination claims</w:t>
      </w:r>
      <w:r>
        <w:rPr>
          <w:lang w:eastAsia="en-GB" w:bidi="ar-SA"/>
        </w:rPr>
        <w:t>;</w:t>
      </w:r>
    </w:p>
    <w:p w14:paraId="350B558C" w14:textId="77777777" w:rsidR="004126A9" w:rsidRPr="00A80A07" w:rsidRDefault="000455F7" w:rsidP="004126A9">
      <w:pPr>
        <w:pStyle w:val="ListParagraph"/>
        <w:numPr>
          <w:ilvl w:val="0"/>
          <w:numId w:val="21"/>
        </w:numPr>
        <w:rPr>
          <w:lang w:eastAsia="en-GB" w:bidi="ar-SA"/>
        </w:rPr>
      </w:pPr>
      <w:r>
        <w:rPr>
          <w:lang w:eastAsia="en-GB" w:bidi="ar-SA"/>
        </w:rPr>
        <w:t>Collective agreements</w:t>
      </w:r>
      <w:r w:rsidR="004126A9">
        <w:rPr>
          <w:lang w:eastAsia="en-GB" w:bidi="ar-SA"/>
        </w:rPr>
        <w:t xml:space="preserve"> but not terms </w:t>
      </w:r>
      <w:r w:rsidR="004126A9" w:rsidRPr="00A80A07">
        <w:rPr>
          <w:lang w:eastAsia="en-GB" w:bidi="ar-SA"/>
        </w:rPr>
        <w:t>agreed after the date of the transfer</w:t>
      </w:r>
      <w:r w:rsidR="004126A9">
        <w:rPr>
          <w:lang w:eastAsia="en-GB" w:bidi="ar-SA"/>
        </w:rPr>
        <w:t xml:space="preserve"> unless t</w:t>
      </w:r>
      <w:r w:rsidR="004126A9" w:rsidRPr="00A80A07">
        <w:rPr>
          <w:lang w:eastAsia="en-GB" w:bidi="ar-SA"/>
        </w:rPr>
        <w:t>he transferee is a participant to the collective bargaining</w:t>
      </w:r>
      <w:r w:rsidR="004126A9">
        <w:rPr>
          <w:lang w:eastAsia="en-GB" w:bidi="ar-SA"/>
        </w:rPr>
        <w:t>.</w:t>
      </w:r>
    </w:p>
    <w:p w14:paraId="28B711DE" w14:textId="77777777" w:rsidR="000455F7" w:rsidRDefault="000455F7" w:rsidP="000455F7">
      <w:pPr>
        <w:pStyle w:val="ListParagraph"/>
        <w:numPr>
          <w:ilvl w:val="0"/>
          <w:numId w:val="21"/>
        </w:numPr>
        <w:rPr>
          <w:lang w:eastAsia="en-GB" w:bidi="ar-SA"/>
        </w:rPr>
      </w:pPr>
      <w:r>
        <w:rPr>
          <w:lang w:eastAsia="en-GB" w:bidi="ar-SA"/>
        </w:rPr>
        <w:t>Trade union recognition.</w:t>
      </w:r>
    </w:p>
    <w:p w14:paraId="1235384F" w14:textId="77777777" w:rsidR="00DC052F" w:rsidRDefault="00DC052F" w:rsidP="006D735C">
      <w:pPr>
        <w:ind w:left="360"/>
        <w:rPr>
          <w:rFonts w:cs="Arial"/>
          <w:color w:val="000000"/>
          <w:szCs w:val="24"/>
        </w:rPr>
      </w:pPr>
    </w:p>
    <w:p w14:paraId="1BE82923" w14:textId="77777777" w:rsidR="00432189" w:rsidRPr="007A7ECD" w:rsidRDefault="00432189" w:rsidP="00432189">
      <w:pPr>
        <w:pStyle w:val="Heading2"/>
        <w:rPr>
          <w:lang w:eastAsia="en-GB" w:bidi="ar-SA"/>
        </w:rPr>
      </w:pPr>
      <w:r w:rsidRPr="007A7ECD">
        <w:rPr>
          <w:lang w:eastAsia="en-GB" w:bidi="ar-SA"/>
        </w:rPr>
        <w:t>What are measures?</w:t>
      </w:r>
    </w:p>
    <w:p w14:paraId="347EDC49" w14:textId="208D3018" w:rsidR="007A781C" w:rsidRDefault="00432189" w:rsidP="00432189">
      <w:pPr>
        <w:rPr>
          <w:lang w:eastAsia="en-GB" w:bidi="ar-SA"/>
        </w:rPr>
      </w:pPr>
      <w:r>
        <w:rPr>
          <w:lang w:eastAsia="en-GB" w:bidi="ar-SA"/>
        </w:rPr>
        <w:t>Measures refers to any action</w:t>
      </w:r>
      <w:r w:rsidR="00AF41F7">
        <w:rPr>
          <w:lang w:eastAsia="en-GB" w:bidi="ar-SA"/>
        </w:rPr>
        <w:t xml:space="preserve"> or change that the transferor or transferee proposes to make to employment arrangements </w:t>
      </w:r>
      <w:r w:rsidR="00001089">
        <w:rPr>
          <w:lang w:eastAsia="en-GB" w:bidi="ar-SA"/>
        </w:rPr>
        <w:t>because of</w:t>
      </w:r>
      <w:r w:rsidR="00AF41F7">
        <w:rPr>
          <w:lang w:eastAsia="en-GB" w:bidi="ar-SA"/>
        </w:rPr>
        <w:t xml:space="preserve"> the transfer. Employees affected by the transfer and trade unions must be informed and consulted about any proposed measures</w:t>
      </w:r>
      <w:r w:rsidR="007A781C">
        <w:rPr>
          <w:lang w:eastAsia="en-GB" w:bidi="ar-SA"/>
        </w:rPr>
        <w:t xml:space="preserve"> or </w:t>
      </w:r>
      <w:r w:rsidR="00BD048F">
        <w:rPr>
          <w:lang w:eastAsia="en-GB" w:bidi="ar-SA"/>
        </w:rPr>
        <w:t xml:space="preserve">informed </w:t>
      </w:r>
      <w:r w:rsidR="007A781C">
        <w:rPr>
          <w:lang w:eastAsia="en-GB" w:bidi="ar-SA"/>
        </w:rPr>
        <w:t>that there are no measures</w:t>
      </w:r>
      <w:r w:rsidR="00AF41F7">
        <w:rPr>
          <w:lang w:eastAsia="en-GB" w:bidi="ar-SA"/>
        </w:rPr>
        <w:t xml:space="preserve">. </w:t>
      </w:r>
    </w:p>
    <w:p w14:paraId="01D5BBAF" w14:textId="77777777" w:rsidR="007A781C" w:rsidRDefault="007A781C" w:rsidP="00432189">
      <w:pPr>
        <w:rPr>
          <w:lang w:eastAsia="en-GB" w:bidi="ar-SA"/>
        </w:rPr>
      </w:pPr>
    </w:p>
    <w:p w14:paraId="7F8DCFE8" w14:textId="77777777" w:rsidR="00432189" w:rsidRDefault="00AF41F7" w:rsidP="00432189">
      <w:pPr>
        <w:rPr>
          <w:lang w:eastAsia="en-GB" w:bidi="ar-SA"/>
        </w:rPr>
      </w:pPr>
      <w:r>
        <w:rPr>
          <w:lang w:eastAsia="en-GB" w:bidi="ar-SA"/>
        </w:rPr>
        <w:t>Measures can include</w:t>
      </w:r>
      <w:r w:rsidR="007A781C">
        <w:rPr>
          <w:lang w:eastAsia="en-GB" w:bidi="ar-SA"/>
        </w:rPr>
        <w:t>:</w:t>
      </w:r>
    </w:p>
    <w:p w14:paraId="7E6E0558" w14:textId="77777777" w:rsidR="007A781C" w:rsidRDefault="007A781C" w:rsidP="007A781C">
      <w:pPr>
        <w:pStyle w:val="ListParagraph"/>
        <w:numPr>
          <w:ilvl w:val="0"/>
          <w:numId w:val="29"/>
        </w:numPr>
        <w:rPr>
          <w:lang w:eastAsia="en-GB" w:bidi="ar-SA"/>
        </w:rPr>
      </w:pPr>
      <w:r>
        <w:rPr>
          <w:lang w:eastAsia="en-GB" w:bidi="ar-SA"/>
        </w:rPr>
        <w:t>a change of pay date</w:t>
      </w:r>
    </w:p>
    <w:p w14:paraId="5DD000DF" w14:textId="77777777" w:rsidR="007A781C" w:rsidRDefault="007A781C" w:rsidP="007A781C">
      <w:pPr>
        <w:pStyle w:val="ListParagraph"/>
        <w:numPr>
          <w:ilvl w:val="0"/>
          <w:numId w:val="29"/>
        </w:numPr>
        <w:rPr>
          <w:lang w:eastAsia="en-GB" w:bidi="ar-SA"/>
        </w:rPr>
      </w:pPr>
      <w:r>
        <w:rPr>
          <w:lang w:eastAsia="en-GB" w:bidi="ar-SA"/>
        </w:rPr>
        <w:t>a change to working patterns</w:t>
      </w:r>
    </w:p>
    <w:p w14:paraId="0FBE4740" w14:textId="77777777" w:rsidR="007A781C" w:rsidRDefault="007A781C" w:rsidP="007A781C">
      <w:pPr>
        <w:pStyle w:val="ListParagraph"/>
        <w:numPr>
          <w:ilvl w:val="0"/>
          <w:numId w:val="29"/>
        </w:numPr>
        <w:rPr>
          <w:lang w:eastAsia="en-GB" w:bidi="ar-SA"/>
        </w:rPr>
      </w:pPr>
      <w:r>
        <w:rPr>
          <w:lang w:eastAsia="en-GB" w:bidi="ar-SA"/>
        </w:rPr>
        <w:t>relocation</w:t>
      </w:r>
    </w:p>
    <w:p w14:paraId="11C02CBB" w14:textId="77777777" w:rsidR="007A781C" w:rsidRDefault="007A781C" w:rsidP="007A781C">
      <w:pPr>
        <w:pStyle w:val="ListParagraph"/>
        <w:numPr>
          <w:ilvl w:val="0"/>
          <w:numId w:val="29"/>
        </w:numPr>
        <w:rPr>
          <w:lang w:eastAsia="en-GB" w:bidi="ar-SA"/>
        </w:rPr>
      </w:pPr>
      <w:r>
        <w:rPr>
          <w:lang w:eastAsia="en-GB" w:bidi="ar-SA"/>
        </w:rPr>
        <w:t>restructure or redundancy</w:t>
      </w:r>
    </w:p>
    <w:p w14:paraId="1480CA8B" w14:textId="77777777" w:rsidR="007A781C" w:rsidRDefault="007A781C" w:rsidP="007A781C">
      <w:pPr>
        <w:pStyle w:val="ListParagraph"/>
        <w:numPr>
          <w:ilvl w:val="0"/>
          <w:numId w:val="29"/>
        </w:numPr>
        <w:rPr>
          <w:lang w:eastAsia="en-GB" w:bidi="ar-SA"/>
        </w:rPr>
      </w:pPr>
      <w:r>
        <w:rPr>
          <w:lang w:eastAsia="en-GB" w:bidi="ar-SA"/>
        </w:rPr>
        <w:t>different pension arrangements</w:t>
      </w:r>
    </w:p>
    <w:p w14:paraId="2BE6EA59" w14:textId="77777777" w:rsidR="00924618" w:rsidRDefault="00924618" w:rsidP="007A781C">
      <w:pPr>
        <w:pStyle w:val="ListParagraph"/>
        <w:numPr>
          <w:ilvl w:val="0"/>
          <w:numId w:val="29"/>
        </w:numPr>
        <w:rPr>
          <w:lang w:eastAsia="en-GB" w:bidi="ar-SA"/>
        </w:rPr>
      </w:pPr>
      <w:r>
        <w:rPr>
          <w:lang w:eastAsia="en-GB" w:bidi="ar-SA"/>
        </w:rPr>
        <w:t xml:space="preserve">changes to </w:t>
      </w:r>
      <w:r w:rsidR="004511B4">
        <w:rPr>
          <w:lang w:eastAsia="en-GB" w:bidi="ar-SA"/>
        </w:rPr>
        <w:t>roles</w:t>
      </w:r>
    </w:p>
    <w:p w14:paraId="54B9267B" w14:textId="77777777" w:rsidR="007A781C" w:rsidRDefault="007A781C" w:rsidP="007A781C">
      <w:pPr>
        <w:rPr>
          <w:lang w:eastAsia="en-GB" w:bidi="ar-SA"/>
        </w:rPr>
      </w:pPr>
    </w:p>
    <w:p w14:paraId="5E0627D4" w14:textId="77777777" w:rsidR="007A781C" w:rsidRDefault="007A781C" w:rsidP="007A781C">
      <w:pPr>
        <w:rPr>
          <w:lang w:eastAsia="en-GB" w:bidi="ar-SA"/>
        </w:rPr>
      </w:pPr>
      <w:r>
        <w:rPr>
          <w:lang w:eastAsia="en-GB" w:bidi="ar-SA"/>
        </w:rPr>
        <w:t>Any measures must be for an ETO reason (</w:t>
      </w:r>
      <w:r w:rsidR="004511B4">
        <w:rPr>
          <w:lang w:eastAsia="en-GB" w:bidi="ar-SA"/>
        </w:rPr>
        <w:t>e</w:t>
      </w:r>
      <w:r>
        <w:rPr>
          <w:lang w:eastAsia="en-GB" w:bidi="ar-SA"/>
        </w:rPr>
        <w:t xml:space="preserve">conomic, </w:t>
      </w:r>
      <w:r w:rsidR="004511B4">
        <w:rPr>
          <w:lang w:eastAsia="en-GB" w:bidi="ar-SA"/>
        </w:rPr>
        <w:t>t</w:t>
      </w:r>
      <w:r>
        <w:rPr>
          <w:lang w:eastAsia="en-GB" w:bidi="ar-SA"/>
        </w:rPr>
        <w:t xml:space="preserve">echnical or </w:t>
      </w:r>
      <w:r w:rsidR="004511B4">
        <w:rPr>
          <w:lang w:eastAsia="en-GB" w:bidi="ar-SA"/>
        </w:rPr>
        <w:t>o</w:t>
      </w:r>
      <w:r>
        <w:rPr>
          <w:lang w:eastAsia="en-GB" w:bidi="ar-SA"/>
        </w:rPr>
        <w:t>rganisational</w:t>
      </w:r>
      <w:r w:rsidR="00924618">
        <w:rPr>
          <w:lang w:eastAsia="en-GB" w:bidi="ar-SA"/>
        </w:rPr>
        <w:t xml:space="preserve">) unless they are unrelated to the transfer i.e. the changes would have happened anyway. Measures must be identified as early as possible </w:t>
      </w:r>
      <w:r w:rsidR="0086253D">
        <w:rPr>
          <w:lang w:eastAsia="en-GB" w:bidi="ar-SA"/>
        </w:rPr>
        <w:t>and</w:t>
      </w:r>
      <w:r w:rsidR="00924618">
        <w:rPr>
          <w:lang w:eastAsia="en-GB" w:bidi="ar-SA"/>
        </w:rPr>
        <w:t xml:space="preserve"> discuss</w:t>
      </w:r>
      <w:r w:rsidR="0086253D">
        <w:rPr>
          <w:lang w:eastAsia="en-GB" w:bidi="ar-SA"/>
        </w:rPr>
        <w:t>ed</w:t>
      </w:r>
      <w:r w:rsidR="00924618">
        <w:rPr>
          <w:lang w:eastAsia="en-GB" w:bidi="ar-SA"/>
        </w:rPr>
        <w:t xml:space="preserve"> between the transfer</w:t>
      </w:r>
      <w:r w:rsidR="00C57416">
        <w:rPr>
          <w:lang w:eastAsia="en-GB" w:bidi="ar-SA"/>
        </w:rPr>
        <w:t>or</w:t>
      </w:r>
      <w:r w:rsidR="00924618">
        <w:rPr>
          <w:lang w:eastAsia="en-GB" w:bidi="ar-SA"/>
        </w:rPr>
        <w:t xml:space="preserve"> and transfer</w:t>
      </w:r>
      <w:r w:rsidR="00C57416">
        <w:rPr>
          <w:lang w:eastAsia="en-GB" w:bidi="ar-SA"/>
        </w:rPr>
        <w:t>ee</w:t>
      </w:r>
      <w:r w:rsidR="00827523">
        <w:rPr>
          <w:lang w:eastAsia="en-GB" w:bidi="ar-SA"/>
        </w:rPr>
        <w:t>.</w:t>
      </w:r>
      <w:r w:rsidR="00AD0DA5">
        <w:rPr>
          <w:lang w:eastAsia="en-GB" w:bidi="ar-SA"/>
        </w:rPr>
        <w:t xml:space="preserve"> </w:t>
      </w:r>
    </w:p>
    <w:p w14:paraId="2D32E67B" w14:textId="77777777" w:rsidR="00827523" w:rsidRDefault="00827523" w:rsidP="007A781C">
      <w:pPr>
        <w:rPr>
          <w:lang w:eastAsia="en-GB" w:bidi="ar-SA"/>
        </w:rPr>
      </w:pPr>
    </w:p>
    <w:p w14:paraId="14C0B6D5" w14:textId="77777777" w:rsidR="00827523" w:rsidRPr="008A77F2" w:rsidRDefault="00827523" w:rsidP="00827523">
      <w:pPr>
        <w:pStyle w:val="Heading2"/>
        <w:rPr>
          <w:lang w:eastAsia="en-GB" w:bidi="ar-SA"/>
        </w:rPr>
      </w:pPr>
      <w:r w:rsidRPr="008A77F2">
        <w:rPr>
          <w:lang w:eastAsia="en-GB" w:bidi="ar-SA"/>
        </w:rPr>
        <w:t>What happen</w:t>
      </w:r>
      <w:r w:rsidR="00BA469B" w:rsidRPr="008A77F2">
        <w:rPr>
          <w:lang w:eastAsia="en-GB" w:bidi="ar-SA"/>
        </w:rPr>
        <w:t>s</w:t>
      </w:r>
      <w:r w:rsidRPr="008A77F2">
        <w:rPr>
          <w:lang w:eastAsia="en-GB" w:bidi="ar-SA"/>
        </w:rPr>
        <w:t xml:space="preserve"> to pensions?</w:t>
      </w:r>
    </w:p>
    <w:p w14:paraId="4032BB0F" w14:textId="2830A834" w:rsidR="00827523" w:rsidRDefault="00827523" w:rsidP="00827523">
      <w:pPr>
        <w:rPr>
          <w:lang w:eastAsia="en-GB" w:bidi="ar-SA"/>
        </w:rPr>
      </w:pPr>
      <w:r>
        <w:rPr>
          <w:lang w:eastAsia="en-GB" w:bidi="ar-SA"/>
        </w:rPr>
        <w:t>Occupational pensions</w:t>
      </w:r>
      <w:r w:rsidR="00B13864">
        <w:rPr>
          <w:lang w:eastAsia="en-GB" w:bidi="ar-SA"/>
        </w:rPr>
        <w:t xml:space="preserve"> </w:t>
      </w:r>
      <w:r w:rsidR="00EB43DB">
        <w:rPr>
          <w:lang w:eastAsia="en-GB" w:bidi="ar-SA"/>
        </w:rPr>
        <w:t xml:space="preserve">(e.g. the LGPS) </w:t>
      </w:r>
      <w:r w:rsidR="00B13864">
        <w:rPr>
          <w:lang w:eastAsia="en-GB" w:bidi="ar-SA"/>
        </w:rPr>
        <w:t>do not transfer under TUPE</w:t>
      </w:r>
      <w:r w:rsidR="00EB43DB">
        <w:rPr>
          <w:lang w:eastAsia="en-GB" w:bidi="ar-SA"/>
        </w:rPr>
        <w:t xml:space="preserve"> but </w:t>
      </w:r>
      <w:r w:rsidR="00EB43DB">
        <w:rPr>
          <w:lang w:val="en"/>
        </w:rPr>
        <w:t>pension rights earned up to the time of a transfer are protected.</w:t>
      </w:r>
      <w:r w:rsidR="00EB43DB">
        <w:rPr>
          <w:lang w:eastAsia="en-GB" w:bidi="ar-SA"/>
        </w:rPr>
        <w:t xml:space="preserve"> </w:t>
      </w:r>
      <w:r w:rsidR="00B13864">
        <w:rPr>
          <w:lang w:eastAsia="en-GB" w:bidi="ar-SA"/>
        </w:rPr>
        <w:t xml:space="preserve">The new employer must auto enrol transferring employees into a pension scheme </w:t>
      </w:r>
      <w:r w:rsidR="00AA4AF9">
        <w:rPr>
          <w:lang w:eastAsia="en-GB" w:bidi="ar-SA"/>
        </w:rPr>
        <w:t xml:space="preserve">if they are </w:t>
      </w:r>
      <w:r w:rsidR="003F46D0">
        <w:rPr>
          <w:lang w:eastAsia="en-GB" w:bidi="ar-SA"/>
        </w:rPr>
        <w:t>eligible</w:t>
      </w:r>
      <w:r w:rsidR="00BD048F">
        <w:rPr>
          <w:lang w:eastAsia="en-GB" w:bidi="ar-SA"/>
        </w:rPr>
        <w:t>. T</w:t>
      </w:r>
      <w:r w:rsidR="00EB43DB">
        <w:rPr>
          <w:lang w:val="en"/>
        </w:rPr>
        <w:t xml:space="preserve">he </w:t>
      </w:r>
      <w:proofErr w:type="spellStart"/>
      <w:r w:rsidR="00EB43DB">
        <w:rPr>
          <w:lang w:val="en"/>
        </w:rPr>
        <w:t>new</w:t>
      </w:r>
      <w:proofErr w:type="spellEnd"/>
      <w:r w:rsidR="00EB43DB">
        <w:rPr>
          <w:lang w:val="en"/>
        </w:rPr>
        <w:t xml:space="preserve"> employer doesn’t have to continue an identical </w:t>
      </w:r>
      <w:r w:rsidR="00EB43DB" w:rsidRPr="004C7B85">
        <w:rPr>
          <w:lang w:val="en"/>
        </w:rPr>
        <w:t>pension</w:t>
      </w:r>
      <w:r w:rsidR="00D62D08" w:rsidRPr="004C7B85">
        <w:rPr>
          <w:lang w:val="en"/>
        </w:rPr>
        <w:t xml:space="preserve"> scheme</w:t>
      </w:r>
      <w:r w:rsidR="00BD048F" w:rsidRPr="004C7B85">
        <w:rPr>
          <w:lang w:eastAsia="en-GB" w:bidi="ar-SA"/>
        </w:rPr>
        <w:t xml:space="preserve"> however,</w:t>
      </w:r>
      <w:r w:rsidR="00D62D08" w:rsidRPr="004C7B85">
        <w:rPr>
          <w:lang w:eastAsia="en-GB" w:bidi="ar-SA"/>
        </w:rPr>
        <w:t xml:space="preserve"> the Government Actuaries Department must confirm that a new scheme is broadly comparable.</w:t>
      </w:r>
    </w:p>
    <w:p w14:paraId="753EF255" w14:textId="77777777" w:rsidR="00EB43DB" w:rsidRDefault="00EB43DB" w:rsidP="00827523">
      <w:pPr>
        <w:rPr>
          <w:lang w:eastAsia="en-GB" w:bidi="ar-SA"/>
        </w:rPr>
      </w:pPr>
    </w:p>
    <w:p w14:paraId="0AE39673" w14:textId="77777777" w:rsidR="00EB43DB" w:rsidRDefault="00001089" w:rsidP="00827523">
      <w:pPr>
        <w:rPr>
          <w:lang w:eastAsia="en-GB" w:bidi="ar-SA"/>
        </w:rPr>
      </w:pPr>
      <w:r>
        <w:rPr>
          <w:lang w:eastAsia="en-GB" w:bidi="ar-SA"/>
        </w:rPr>
        <w:t>Generally,</w:t>
      </w:r>
      <w:r w:rsidR="00EB43DB">
        <w:rPr>
          <w:lang w:eastAsia="en-GB" w:bidi="ar-SA"/>
        </w:rPr>
        <w:t xml:space="preserve"> with academy conversions and transfers to MAT’s, they tend to have admitted body status for the LGPS so pensions </w:t>
      </w:r>
      <w:r w:rsidR="00BA469B">
        <w:rPr>
          <w:lang w:eastAsia="en-GB" w:bidi="ar-SA"/>
        </w:rPr>
        <w:t>would not be</w:t>
      </w:r>
      <w:r w:rsidR="00EB43DB">
        <w:rPr>
          <w:lang w:eastAsia="en-GB" w:bidi="ar-SA"/>
        </w:rPr>
        <w:t xml:space="preserve"> not affected. </w:t>
      </w:r>
    </w:p>
    <w:p w14:paraId="658B4981" w14:textId="77777777" w:rsidR="00D8016D" w:rsidRPr="00827523" w:rsidRDefault="00D8016D" w:rsidP="00827523">
      <w:pPr>
        <w:rPr>
          <w:lang w:eastAsia="en-GB" w:bidi="ar-SA"/>
        </w:rPr>
      </w:pPr>
    </w:p>
    <w:p w14:paraId="2B8FC3E3" w14:textId="77777777" w:rsidR="00511028" w:rsidRDefault="00001089" w:rsidP="00511028">
      <w:pPr>
        <w:pStyle w:val="Heading1"/>
        <w:rPr>
          <w:lang w:eastAsia="en-GB" w:bidi="ar-SA"/>
        </w:rPr>
      </w:pPr>
      <w:r>
        <w:rPr>
          <w:lang w:eastAsia="en-GB" w:bidi="ar-SA"/>
        </w:rPr>
        <w:t>The TUPE process</w:t>
      </w:r>
      <w:r w:rsidR="00511028">
        <w:rPr>
          <w:lang w:eastAsia="en-GB" w:bidi="ar-SA"/>
        </w:rPr>
        <w:t xml:space="preserve"> </w:t>
      </w:r>
    </w:p>
    <w:p w14:paraId="455AB621" w14:textId="77777777" w:rsidR="00511028" w:rsidRDefault="00511028" w:rsidP="00511028">
      <w:pPr>
        <w:rPr>
          <w:lang w:eastAsia="en-GB" w:bidi="ar-SA"/>
        </w:rPr>
      </w:pPr>
      <w:r>
        <w:rPr>
          <w:lang w:eastAsia="en-GB" w:bidi="ar-SA"/>
        </w:rPr>
        <w:t xml:space="preserve">TUPE is a complex area of law and, therefore, it is important that you contact HR Advice and </w:t>
      </w:r>
      <w:r w:rsidR="00025D38">
        <w:rPr>
          <w:lang w:eastAsia="en-GB" w:bidi="ar-SA"/>
        </w:rPr>
        <w:t>Support</w:t>
      </w:r>
      <w:r>
        <w:rPr>
          <w:lang w:eastAsia="en-GB" w:bidi="ar-SA"/>
        </w:rPr>
        <w:t xml:space="preserve"> as soon as possible to ensure that the process is managed correctly. </w:t>
      </w:r>
    </w:p>
    <w:p w14:paraId="4409E196" w14:textId="77777777" w:rsidR="00511028" w:rsidRDefault="00511028" w:rsidP="00511028">
      <w:pPr>
        <w:rPr>
          <w:lang w:eastAsia="en-GB" w:bidi="ar-SA"/>
        </w:rPr>
      </w:pPr>
    </w:p>
    <w:p w14:paraId="4A2009EA" w14:textId="462E478C" w:rsidR="001B6925" w:rsidRDefault="00511028" w:rsidP="00511028">
      <w:pPr>
        <w:rPr>
          <w:lang w:eastAsia="en-GB" w:bidi="ar-SA"/>
        </w:rPr>
      </w:pPr>
      <w:r w:rsidRPr="008A77F2">
        <w:rPr>
          <w:lang w:eastAsia="en-GB" w:bidi="ar-SA"/>
        </w:rPr>
        <w:lastRenderedPageBreak/>
        <w:t>T</w:t>
      </w:r>
      <w:r w:rsidR="00025D38" w:rsidRPr="008A77F2">
        <w:rPr>
          <w:lang w:eastAsia="en-GB" w:bidi="ar-SA"/>
        </w:rPr>
        <w:t>here is no set timescale for a TUPE consultation period as it will vary depending on circumstances</w:t>
      </w:r>
      <w:r w:rsidR="00BA469B" w:rsidRPr="008A77F2">
        <w:rPr>
          <w:lang w:eastAsia="en-GB" w:bidi="ar-SA"/>
        </w:rPr>
        <w:t xml:space="preserve"> but</w:t>
      </w:r>
      <w:r w:rsidR="00827523" w:rsidRPr="008A77F2">
        <w:rPr>
          <w:lang w:eastAsia="en-GB" w:bidi="ar-SA"/>
        </w:rPr>
        <w:t xml:space="preserve"> </w:t>
      </w:r>
      <w:r w:rsidR="005E4E60">
        <w:rPr>
          <w:lang w:eastAsia="en-GB" w:bidi="ar-SA"/>
        </w:rPr>
        <w:t xml:space="preserve">there </w:t>
      </w:r>
      <w:r w:rsidR="00827523" w:rsidRPr="008A77F2">
        <w:rPr>
          <w:lang w:eastAsia="en-GB" w:bidi="ar-SA"/>
        </w:rPr>
        <w:t xml:space="preserve">must </w:t>
      </w:r>
      <w:r w:rsidR="005E4E60">
        <w:rPr>
          <w:lang w:eastAsia="en-GB" w:bidi="ar-SA"/>
        </w:rPr>
        <w:t xml:space="preserve">be enough time to </w:t>
      </w:r>
      <w:r w:rsidR="00827523" w:rsidRPr="008A77F2">
        <w:rPr>
          <w:lang w:eastAsia="en-GB" w:bidi="ar-SA"/>
        </w:rPr>
        <w:t>allow for meaningful consultation to take place</w:t>
      </w:r>
      <w:r w:rsidR="00BA469B" w:rsidRPr="008A77F2">
        <w:rPr>
          <w:lang w:eastAsia="en-GB" w:bidi="ar-SA"/>
        </w:rPr>
        <w:t>.</w:t>
      </w:r>
      <w:r w:rsidR="00827523" w:rsidRPr="008A77F2">
        <w:rPr>
          <w:lang w:eastAsia="en-GB" w:bidi="ar-SA"/>
        </w:rPr>
        <w:t xml:space="preserve"> </w:t>
      </w:r>
      <w:r w:rsidR="00BA469B" w:rsidRPr="008A77F2">
        <w:rPr>
          <w:lang w:eastAsia="en-GB" w:bidi="ar-SA"/>
        </w:rPr>
        <w:t>I</w:t>
      </w:r>
      <w:r w:rsidR="00827523" w:rsidRPr="008A77F2">
        <w:rPr>
          <w:lang w:eastAsia="en-GB" w:bidi="ar-SA"/>
        </w:rPr>
        <w:t xml:space="preserve">n all cases </w:t>
      </w:r>
      <w:r w:rsidR="007E2917" w:rsidRPr="008A77F2">
        <w:rPr>
          <w:lang w:eastAsia="en-GB" w:bidi="ar-SA"/>
        </w:rPr>
        <w:t xml:space="preserve">the employee liability information must be provided to the transferee </w:t>
      </w:r>
      <w:r w:rsidR="007E2917" w:rsidRPr="008A77F2">
        <w:rPr>
          <w:b/>
          <w:lang w:eastAsia="en-GB" w:bidi="ar-SA"/>
        </w:rPr>
        <w:t xml:space="preserve">at least </w:t>
      </w:r>
      <w:r w:rsidR="007E2917" w:rsidRPr="008A77F2">
        <w:rPr>
          <w:lang w:eastAsia="en-GB" w:bidi="ar-SA"/>
        </w:rPr>
        <w:t xml:space="preserve">28 days before the transfer date. </w:t>
      </w:r>
      <w:r w:rsidR="006077BA" w:rsidRPr="008A77F2">
        <w:rPr>
          <w:lang w:eastAsia="en-GB" w:bidi="ar-SA"/>
        </w:rPr>
        <w:t>In cases where there is a transfer out of staff Payroll and Employee Se</w:t>
      </w:r>
      <w:r w:rsidR="00C74834" w:rsidRPr="008A77F2">
        <w:rPr>
          <w:lang w:eastAsia="en-GB" w:bidi="ar-SA"/>
        </w:rPr>
        <w:t>r</w:t>
      </w:r>
      <w:r w:rsidR="006077BA" w:rsidRPr="008A77F2">
        <w:rPr>
          <w:lang w:eastAsia="en-GB" w:bidi="ar-SA"/>
        </w:rPr>
        <w:t>vices</w:t>
      </w:r>
      <w:r w:rsidR="007E2917" w:rsidRPr="008A77F2">
        <w:rPr>
          <w:lang w:eastAsia="en-GB" w:bidi="ar-SA"/>
        </w:rPr>
        <w:t xml:space="preserve"> </w:t>
      </w:r>
      <w:r w:rsidR="001B6925" w:rsidRPr="008A77F2">
        <w:rPr>
          <w:lang w:eastAsia="en-GB" w:bidi="ar-SA"/>
        </w:rPr>
        <w:t>co</w:t>
      </w:r>
      <w:r w:rsidR="006E408B" w:rsidRPr="008A77F2">
        <w:rPr>
          <w:lang w:eastAsia="en-GB" w:bidi="ar-SA"/>
        </w:rPr>
        <w:t>llate</w:t>
      </w:r>
      <w:r w:rsidR="001B6925" w:rsidRPr="008A77F2">
        <w:rPr>
          <w:lang w:eastAsia="en-GB" w:bidi="ar-SA"/>
        </w:rPr>
        <w:t xml:space="preserve"> the employee liability/due diligence information</w:t>
      </w:r>
      <w:r w:rsidR="00C74834" w:rsidRPr="008A77F2">
        <w:rPr>
          <w:lang w:eastAsia="en-GB" w:bidi="ar-SA"/>
        </w:rPr>
        <w:t xml:space="preserve"> </w:t>
      </w:r>
      <w:r w:rsidR="001B6925" w:rsidRPr="008A77F2">
        <w:rPr>
          <w:lang w:eastAsia="en-GB" w:bidi="ar-SA"/>
        </w:rPr>
        <w:t>and share this with the transferee.</w:t>
      </w:r>
      <w:r w:rsidR="006077BA">
        <w:rPr>
          <w:lang w:eastAsia="en-GB" w:bidi="ar-SA"/>
        </w:rPr>
        <w:t xml:space="preserve"> </w:t>
      </w:r>
    </w:p>
    <w:p w14:paraId="4A29285B" w14:textId="77777777" w:rsidR="004F1B25" w:rsidRDefault="004F1B25" w:rsidP="00511028">
      <w:pPr>
        <w:rPr>
          <w:lang w:eastAsia="en-GB" w:bidi="ar-SA"/>
        </w:rPr>
      </w:pPr>
    </w:p>
    <w:p w14:paraId="27FDF670" w14:textId="0F97507B" w:rsidR="001B6925" w:rsidRDefault="004F1B25" w:rsidP="00511028">
      <w:pPr>
        <w:rPr>
          <w:lang w:eastAsia="en-GB" w:bidi="ar-SA"/>
        </w:rPr>
      </w:pPr>
      <w:r>
        <w:rPr>
          <w:lang w:eastAsia="en-GB" w:bidi="ar-SA"/>
        </w:rPr>
        <w:t xml:space="preserve">The TUPE transfer will need to be approved by </w:t>
      </w:r>
      <w:r w:rsidR="006077BA">
        <w:rPr>
          <w:lang w:eastAsia="en-GB" w:bidi="ar-SA"/>
        </w:rPr>
        <w:t>the governing body/appropriate committee</w:t>
      </w:r>
      <w:r>
        <w:rPr>
          <w:lang w:eastAsia="en-GB" w:bidi="ar-SA"/>
        </w:rPr>
        <w:t xml:space="preserve"> before consultation begins. </w:t>
      </w:r>
      <w:r w:rsidR="00F5436D">
        <w:rPr>
          <w:lang w:eastAsia="en-GB" w:bidi="ar-SA"/>
        </w:rPr>
        <w:t>There are three stages in the process – planning, consultation, implementation.</w:t>
      </w:r>
    </w:p>
    <w:p w14:paraId="54E3F62F" w14:textId="77777777" w:rsidR="00001089" w:rsidRDefault="00001089" w:rsidP="00511028">
      <w:pPr>
        <w:rPr>
          <w:lang w:eastAsia="en-GB" w:bidi="ar-SA"/>
        </w:rPr>
      </w:pPr>
    </w:p>
    <w:p w14:paraId="48685E90" w14:textId="77777777" w:rsidR="004F1B25" w:rsidRPr="008A77F2" w:rsidRDefault="00001089" w:rsidP="00001089">
      <w:pPr>
        <w:pStyle w:val="Heading2"/>
        <w:rPr>
          <w:lang w:eastAsia="en-GB" w:bidi="ar-SA"/>
        </w:rPr>
      </w:pPr>
      <w:r w:rsidRPr="008A77F2">
        <w:rPr>
          <w:lang w:eastAsia="en-GB" w:bidi="ar-SA"/>
        </w:rPr>
        <w:t>Planning</w:t>
      </w:r>
    </w:p>
    <w:p w14:paraId="67008CF5" w14:textId="77777777" w:rsidR="00F5436D" w:rsidRPr="008A77F2" w:rsidRDefault="001B6925" w:rsidP="00636A30">
      <w:pPr>
        <w:rPr>
          <w:lang w:eastAsia="en-GB" w:bidi="ar-SA"/>
        </w:rPr>
      </w:pPr>
      <w:r w:rsidRPr="008A77F2">
        <w:rPr>
          <w:lang w:eastAsia="en-GB" w:bidi="ar-SA"/>
        </w:rPr>
        <w:t>HR Advice and Support will support headteachers with the TUPE consultation process</w:t>
      </w:r>
      <w:r w:rsidR="00636A30" w:rsidRPr="008A77F2">
        <w:rPr>
          <w:lang w:eastAsia="en-GB" w:bidi="ar-SA"/>
        </w:rPr>
        <w:t xml:space="preserve">. </w:t>
      </w:r>
      <w:r w:rsidRPr="008A77F2">
        <w:rPr>
          <w:lang w:eastAsia="en-GB" w:bidi="ar-SA"/>
        </w:rPr>
        <w:t xml:space="preserve"> </w:t>
      </w:r>
      <w:r w:rsidR="00F5436D" w:rsidRPr="008A77F2">
        <w:rPr>
          <w:lang w:eastAsia="en-GB" w:bidi="ar-SA"/>
        </w:rPr>
        <w:t>As soon as there is approval for the transfer the h</w:t>
      </w:r>
      <w:r w:rsidRPr="008A77F2">
        <w:rPr>
          <w:lang w:eastAsia="en-GB" w:bidi="ar-SA"/>
        </w:rPr>
        <w:t xml:space="preserve">eadteacher should arrange an initial meeting with HR </w:t>
      </w:r>
    </w:p>
    <w:p w14:paraId="1B2C7A42" w14:textId="73A91266" w:rsidR="00511028" w:rsidRDefault="001B6925" w:rsidP="00636A30">
      <w:pPr>
        <w:rPr>
          <w:lang w:eastAsia="en-GB" w:bidi="ar-SA"/>
        </w:rPr>
      </w:pPr>
      <w:r w:rsidRPr="008A77F2">
        <w:rPr>
          <w:lang w:eastAsia="en-GB" w:bidi="ar-SA"/>
        </w:rPr>
        <w:t xml:space="preserve">Advice and Support </w:t>
      </w:r>
      <w:r w:rsidR="00425C37" w:rsidRPr="008A77F2">
        <w:rPr>
          <w:lang w:eastAsia="en-GB" w:bidi="ar-SA"/>
        </w:rPr>
        <w:t>who will</w:t>
      </w:r>
      <w:r w:rsidRPr="008A77F2">
        <w:rPr>
          <w:lang w:eastAsia="en-GB" w:bidi="ar-SA"/>
        </w:rPr>
        <w:t xml:space="preserve"> </w:t>
      </w:r>
      <w:r w:rsidR="00425C37" w:rsidRPr="008A77F2">
        <w:rPr>
          <w:lang w:eastAsia="en-GB" w:bidi="ar-SA"/>
        </w:rPr>
        <w:t>explain the TUPE process</w:t>
      </w:r>
      <w:r w:rsidR="00BA0202" w:rsidRPr="008A77F2">
        <w:rPr>
          <w:lang w:eastAsia="en-GB" w:bidi="ar-SA"/>
        </w:rPr>
        <w:t xml:space="preserve"> and subsequent timeline</w:t>
      </w:r>
      <w:r w:rsidR="00425C37" w:rsidRPr="008A77F2">
        <w:rPr>
          <w:lang w:eastAsia="en-GB" w:bidi="ar-SA"/>
        </w:rPr>
        <w:t>.</w:t>
      </w:r>
      <w:r w:rsidR="00425C37">
        <w:rPr>
          <w:lang w:eastAsia="en-GB" w:bidi="ar-SA"/>
        </w:rPr>
        <w:t xml:space="preserve"> </w:t>
      </w:r>
      <w:r w:rsidR="00C44B60">
        <w:rPr>
          <w:lang w:eastAsia="en-GB" w:bidi="ar-SA"/>
        </w:rPr>
        <w:t xml:space="preserve">Information will need to be prepared to share with trade </w:t>
      </w:r>
      <w:r w:rsidR="00BC7673">
        <w:rPr>
          <w:lang w:eastAsia="en-GB" w:bidi="ar-SA"/>
        </w:rPr>
        <w:t>u</w:t>
      </w:r>
      <w:r w:rsidR="00C44B60">
        <w:rPr>
          <w:lang w:eastAsia="en-GB" w:bidi="ar-SA"/>
        </w:rPr>
        <w:t>nions and affected employees:</w:t>
      </w:r>
    </w:p>
    <w:p w14:paraId="145AF4FF" w14:textId="77777777" w:rsidR="00425C37" w:rsidRDefault="00425C37" w:rsidP="00636A30">
      <w:pPr>
        <w:rPr>
          <w:lang w:eastAsia="en-GB" w:bidi="ar-SA"/>
        </w:rPr>
      </w:pPr>
    </w:p>
    <w:p w14:paraId="007584E7" w14:textId="77777777" w:rsidR="002F35AC" w:rsidRPr="008A77F2" w:rsidRDefault="00425C37" w:rsidP="00001089">
      <w:pPr>
        <w:pStyle w:val="Heading3"/>
        <w:rPr>
          <w:lang w:eastAsia="en-GB" w:bidi="ar-SA"/>
        </w:rPr>
      </w:pPr>
      <w:r w:rsidRPr="008A77F2">
        <w:rPr>
          <w:lang w:eastAsia="en-GB" w:bidi="ar-SA"/>
        </w:rPr>
        <w:t>Transfers out of the school</w:t>
      </w:r>
    </w:p>
    <w:p w14:paraId="3778301D" w14:textId="37865B0B" w:rsidR="003E2CF8" w:rsidRPr="008A77F2" w:rsidRDefault="00C83C73" w:rsidP="00BA1533">
      <w:pPr>
        <w:pStyle w:val="ListParagraph"/>
        <w:numPr>
          <w:ilvl w:val="0"/>
          <w:numId w:val="26"/>
        </w:numPr>
        <w:rPr>
          <w:lang w:eastAsia="en-GB" w:bidi="ar-SA"/>
        </w:rPr>
      </w:pPr>
      <w:r w:rsidRPr="008A77F2">
        <w:rPr>
          <w:lang w:eastAsia="en-GB" w:bidi="ar-SA"/>
        </w:rPr>
        <w:t>The</w:t>
      </w:r>
      <w:r w:rsidR="00B04619" w:rsidRPr="008A77F2">
        <w:rPr>
          <w:lang w:eastAsia="en-GB" w:bidi="ar-SA"/>
        </w:rPr>
        <w:t xml:space="preserve"> measures letter </w:t>
      </w:r>
      <w:r w:rsidR="006414DF" w:rsidRPr="008A77F2">
        <w:rPr>
          <w:lang w:eastAsia="en-GB" w:bidi="ar-SA"/>
        </w:rPr>
        <w:t xml:space="preserve">will </w:t>
      </w:r>
      <w:r w:rsidR="00B04619" w:rsidRPr="008A77F2">
        <w:rPr>
          <w:lang w:eastAsia="en-GB" w:bidi="ar-SA"/>
        </w:rPr>
        <w:t xml:space="preserve">be </w:t>
      </w:r>
      <w:r w:rsidR="004D4F45" w:rsidRPr="008A77F2">
        <w:rPr>
          <w:lang w:eastAsia="en-GB" w:bidi="ar-SA"/>
        </w:rPr>
        <w:t xml:space="preserve">drafted by HR and the headteacher and </w:t>
      </w:r>
      <w:r w:rsidR="00B04619" w:rsidRPr="008A77F2">
        <w:rPr>
          <w:lang w:eastAsia="en-GB" w:bidi="ar-SA"/>
        </w:rPr>
        <w:t xml:space="preserve">sent to the transferee requesting written notification of any measures </w:t>
      </w:r>
      <w:r w:rsidR="00425C37" w:rsidRPr="008A77F2">
        <w:rPr>
          <w:lang w:eastAsia="en-GB" w:bidi="ar-SA"/>
        </w:rPr>
        <w:t xml:space="preserve">they </w:t>
      </w:r>
      <w:r w:rsidR="00B04619" w:rsidRPr="008A77F2">
        <w:rPr>
          <w:lang w:eastAsia="en-GB" w:bidi="ar-SA"/>
        </w:rPr>
        <w:t>propose</w:t>
      </w:r>
      <w:r w:rsidR="00425C37" w:rsidRPr="008A77F2">
        <w:rPr>
          <w:lang w:eastAsia="en-GB" w:bidi="ar-SA"/>
        </w:rPr>
        <w:t>.</w:t>
      </w:r>
      <w:r w:rsidR="002F35AC" w:rsidRPr="008A77F2">
        <w:rPr>
          <w:lang w:eastAsia="en-GB" w:bidi="ar-SA"/>
        </w:rPr>
        <w:t xml:space="preserve"> </w:t>
      </w:r>
      <w:r w:rsidR="00F32F3C" w:rsidRPr="008A77F2">
        <w:rPr>
          <w:lang w:eastAsia="en-GB" w:bidi="ar-SA"/>
        </w:rPr>
        <w:t xml:space="preserve">A template letter </w:t>
      </w:r>
      <w:r w:rsidR="00D777BC" w:rsidRPr="008A77F2">
        <w:rPr>
          <w:lang w:eastAsia="en-GB" w:bidi="ar-SA"/>
        </w:rPr>
        <w:t>will be provided by HR.</w:t>
      </w:r>
    </w:p>
    <w:p w14:paraId="18DAAA18" w14:textId="676A41ED" w:rsidR="00B04619" w:rsidRPr="008A77F2" w:rsidRDefault="005C4781" w:rsidP="00D777BC">
      <w:pPr>
        <w:pStyle w:val="ListParagraph"/>
        <w:numPr>
          <w:ilvl w:val="0"/>
          <w:numId w:val="26"/>
        </w:numPr>
        <w:rPr>
          <w:lang w:eastAsia="en-GB" w:bidi="ar-SA"/>
        </w:rPr>
      </w:pPr>
      <w:r w:rsidRPr="008A77F2">
        <w:rPr>
          <w:lang w:eastAsia="en-GB" w:bidi="ar-SA"/>
        </w:rPr>
        <w:t xml:space="preserve">The </w:t>
      </w:r>
      <w:r w:rsidR="00AF1A90" w:rsidRPr="008A77F2">
        <w:rPr>
          <w:lang w:eastAsia="en-GB" w:bidi="ar-SA"/>
        </w:rPr>
        <w:t xml:space="preserve">HR Advice and Support representative </w:t>
      </w:r>
      <w:r w:rsidR="00B04619" w:rsidRPr="008A77F2">
        <w:rPr>
          <w:lang w:eastAsia="en-GB" w:bidi="ar-SA"/>
        </w:rPr>
        <w:t xml:space="preserve">will </w:t>
      </w:r>
      <w:r w:rsidRPr="008A77F2">
        <w:rPr>
          <w:lang w:eastAsia="en-GB" w:bidi="ar-SA"/>
        </w:rPr>
        <w:t>provide a</w:t>
      </w:r>
      <w:r w:rsidR="00B04619" w:rsidRPr="008A77F2">
        <w:rPr>
          <w:lang w:eastAsia="en-GB" w:bidi="ar-SA"/>
        </w:rPr>
        <w:t xml:space="preserve"> list of employees </w:t>
      </w:r>
      <w:r w:rsidR="005E4E60">
        <w:rPr>
          <w:lang w:eastAsia="en-GB" w:bidi="ar-SA"/>
        </w:rPr>
        <w:t xml:space="preserve">and anyone assigned to a service </w:t>
      </w:r>
      <w:r w:rsidR="00B04619" w:rsidRPr="008A77F2">
        <w:rPr>
          <w:lang w:eastAsia="en-GB" w:bidi="ar-SA"/>
        </w:rPr>
        <w:t>at the school</w:t>
      </w:r>
      <w:r w:rsidRPr="008A77F2">
        <w:rPr>
          <w:lang w:eastAsia="en-GB" w:bidi="ar-SA"/>
        </w:rPr>
        <w:t xml:space="preserve"> and </w:t>
      </w:r>
      <w:r w:rsidR="00B04619" w:rsidRPr="008A77F2">
        <w:rPr>
          <w:lang w:eastAsia="en-GB" w:bidi="ar-SA"/>
        </w:rPr>
        <w:t xml:space="preserve">agree </w:t>
      </w:r>
      <w:r w:rsidRPr="008A77F2">
        <w:rPr>
          <w:lang w:eastAsia="en-GB" w:bidi="ar-SA"/>
        </w:rPr>
        <w:t xml:space="preserve">with the headteacher </w:t>
      </w:r>
      <w:r w:rsidR="00B04619" w:rsidRPr="008A77F2">
        <w:rPr>
          <w:lang w:eastAsia="en-GB" w:bidi="ar-SA"/>
        </w:rPr>
        <w:t xml:space="preserve">who is affected by the transfer and identify any </w:t>
      </w:r>
      <w:r w:rsidR="00D777BC" w:rsidRPr="008A77F2">
        <w:rPr>
          <w:lang w:eastAsia="en-GB" w:bidi="ar-SA"/>
        </w:rPr>
        <w:t xml:space="preserve">initial </w:t>
      </w:r>
      <w:r w:rsidR="00B04619" w:rsidRPr="008A77F2">
        <w:rPr>
          <w:lang w:eastAsia="en-GB" w:bidi="ar-SA"/>
        </w:rPr>
        <w:t>liabilities.</w:t>
      </w:r>
      <w:r w:rsidR="00D777BC" w:rsidRPr="008A77F2">
        <w:rPr>
          <w:lang w:eastAsia="en-GB" w:bidi="ar-SA"/>
        </w:rPr>
        <w:t xml:space="preserve"> </w:t>
      </w:r>
    </w:p>
    <w:p w14:paraId="17BC2CB1" w14:textId="423F834C" w:rsidR="00427016" w:rsidRPr="008A77F2" w:rsidRDefault="00D777BC" w:rsidP="00C44B60">
      <w:pPr>
        <w:pStyle w:val="ListParagraph"/>
        <w:numPr>
          <w:ilvl w:val="0"/>
          <w:numId w:val="26"/>
        </w:numPr>
        <w:rPr>
          <w:lang w:eastAsia="en-GB" w:bidi="ar-SA"/>
        </w:rPr>
      </w:pPr>
      <w:r w:rsidRPr="008A77F2">
        <w:rPr>
          <w:lang w:eastAsia="en-GB" w:bidi="ar-SA"/>
        </w:rPr>
        <w:t>Payroll and Employee Services will provide</w:t>
      </w:r>
      <w:r w:rsidR="00427016" w:rsidRPr="008A77F2">
        <w:rPr>
          <w:lang w:eastAsia="en-GB" w:bidi="ar-SA"/>
        </w:rPr>
        <w:t xml:space="preserve"> an anonymised employee schedule</w:t>
      </w:r>
      <w:r w:rsidRPr="008A77F2">
        <w:rPr>
          <w:lang w:eastAsia="en-GB" w:bidi="ar-SA"/>
        </w:rPr>
        <w:t xml:space="preserve"> for trade unions.</w:t>
      </w:r>
    </w:p>
    <w:p w14:paraId="0693CEE1" w14:textId="77777777" w:rsidR="00F43CCA" w:rsidRPr="008A77F2" w:rsidRDefault="00AF1A90" w:rsidP="00B04619">
      <w:pPr>
        <w:pStyle w:val="ListParagraph"/>
        <w:numPr>
          <w:ilvl w:val="0"/>
          <w:numId w:val="26"/>
        </w:numPr>
        <w:rPr>
          <w:lang w:eastAsia="en-GB" w:bidi="ar-SA"/>
        </w:rPr>
      </w:pPr>
      <w:r w:rsidRPr="008A77F2">
        <w:rPr>
          <w:lang w:eastAsia="en-GB" w:bidi="ar-SA"/>
        </w:rPr>
        <w:t xml:space="preserve">The </w:t>
      </w:r>
      <w:r w:rsidR="002F35AC" w:rsidRPr="008A77F2">
        <w:rPr>
          <w:lang w:eastAsia="en-GB" w:bidi="ar-SA"/>
        </w:rPr>
        <w:t>HR Advice and Support representative will provide the headteacher with a list of trade union contacts</w:t>
      </w:r>
      <w:r w:rsidR="00D777BC" w:rsidRPr="008A77F2">
        <w:rPr>
          <w:lang w:eastAsia="en-GB" w:bidi="ar-SA"/>
        </w:rPr>
        <w:t>.</w:t>
      </w:r>
      <w:r w:rsidR="002F35AC" w:rsidRPr="008A77F2">
        <w:rPr>
          <w:lang w:eastAsia="en-GB" w:bidi="ar-SA"/>
        </w:rPr>
        <w:t xml:space="preserve"> </w:t>
      </w:r>
    </w:p>
    <w:p w14:paraId="290B5134" w14:textId="3F8C72AD" w:rsidR="002F35AC" w:rsidRPr="008A77F2" w:rsidRDefault="00F43CCA" w:rsidP="00B04619">
      <w:pPr>
        <w:pStyle w:val="ListParagraph"/>
        <w:numPr>
          <w:ilvl w:val="0"/>
          <w:numId w:val="26"/>
        </w:numPr>
        <w:rPr>
          <w:lang w:eastAsia="en-GB" w:bidi="ar-SA"/>
        </w:rPr>
      </w:pPr>
      <w:r w:rsidRPr="008A77F2">
        <w:rPr>
          <w:lang w:eastAsia="en-GB" w:bidi="ar-SA"/>
        </w:rPr>
        <w:t>The headteacher will provide c</w:t>
      </w:r>
      <w:r w:rsidR="003E2CF8" w:rsidRPr="008A77F2">
        <w:rPr>
          <w:lang w:eastAsia="en-GB" w:bidi="ar-SA"/>
        </w:rPr>
        <w:t xml:space="preserve">ontact details </w:t>
      </w:r>
      <w:r w:rsidR="005C4781" w:rsidRPr="008A77F2">
        <w:rPr>
          <w:lang w:eastAsia="en-GB" w:bidi="ar-SA"/>
        </w:rPr>
        <w:t>of</w:t>
      </w:r>
      <w:r w:rsidR="003E2CF8" w:rsidRPr="008A77F2">
        <w:rPr>
          <w:lang w:eastAsia="en-GB" w:bidi="ar-SA"/>
        </w:rPr>
        <w:t xml:space="preserve"> the transfere</w:t>
      </w:r>
      <w:r w:rsidR="006E4379" w:rsidRPr="008A77F2">
        <w:rPr>
          <w:lang w:eastAsia="en-GB" w:bidi="ar-SA"/>
        </w:rPr>
        <w:t>e.</w:t>
      </w:r>
    </w:p>
    <w:p w14:paraId="3236F5A2" w14:textId="767299CC" w:rsidR="004411E3" w:rsidRPr="008A77F2" w:rsidRDefault="00653310" w:rsidP="00B04619">
      <w:pPr>
        <w:pStyle w:val="ListParagraph"/>
        <w:numPr>
          <w:ilvl w:val="0"/>
          <w:numId w:val="26"/>
        </w:numPr>
        <w:rPr>
          <w:lang w:eastAsia="en-GB" w:bidi="ar-SA"/>
        </w:rPr>
      </w:pPr>
      <w:r w:rsidRPr="008A77F2">
        <w:rPr>
          <w:lang w:eastAsia="en-GB" w:bidi="ar-SA"/>
        </w:rPr>
        <w:t xml:space="preserve">Agree dates for </w:t>
      </w:r>
      <w:r w:rsidR="00E27C9D" w:rsidRPr="008A77F2">
        <w:rPr>
          <w:lang w:eastAsia="en-GB" w:bidi="ar-SA"/>
        </w:rPr>
        <w:t xml:space="preserve">joint </w:t>
      </w:r>
      <w:r w:rsidR="004411E3" w:rsidRPr="008A77F2">
        <w:rPr>
          <w:lang w:eastAsia="en-GB" w:bidi="ar-SA"/>
        </w:rPr>
        <w:t>consultation meetings</w:t>
      </w:r>
      <w:r w:rsidRPr="008A77F2">
        <w:rPr>
          <w:lang w:eastAsia="en-GB" w:bidi="ar-SA"/>
        </w:rPr>
        <w:t xml:space="preserve"> with the transferee and</w:t>
      </w:r>
      <w:r w:rsidR="00217E3A" w:rsidRPr="008A77F2">
        <w:rPr>
          <w:lang w:eastAsia="en-GB" w:bidi="ar-SA"/>
        </w:rPr>
        <w:t xml:space="preserve"> ensure an appropriate room/venue is available</w:t>
      </w:r>
      <w:r w:rsidRPr="008A77F2">
        <w:rPr>
          <w:lang w:eastAsia="en-GB" w:bidi="ar-SA"/>
        </w:rPr>
        <w:t>.</w:t>
      </w:r>
    </w:p>
    <w:p w14:paraId="017A151B" w14:textId="7C9B6876" w:rsidR="002F35AC" w:rsidRPr="008A77F2" w:rsidRDefault="00D777BC" w:rsidP="00D777BC">
      <w:pPr>
        <w:pStyle w:val="ListParagraph"/>
        <w:numPr>
          <w:ilvl w:val="0"/>
          <w:numId w:val="26"/>
        </w:numPr>
        <w:rPr>
          <w:lang w:eastAsia="en-GB" w:bidi="ar-SA"/>
        </w:rPr>
      </w:pPr>
      <w:r w:rsidRPr="008A77F2">
        <w:rPr>
          <w:lang w:eastAsia="en-GB" w:bidi="ar-SA"/>
        </w:rPr>
        <w:t>Payroll and Employee Service</w:t>
      </w:r>
      <w:r w:rsidR="00366AEC" w:rsidRPr="008A77F2">
        <w:rPr>
          <w:lang w:eastAsia="en-GB" w:bidi="ar-SA"/>
        </w:rPr>
        <w:t>s</w:t>
      </w:r>
      <w:r w:rsidR="006E4379" w:rsidRPr="008A77F2">
        <w:rPr>
          <w:lang w:eastAsia="en-GB" w:bidi="ar-SA"/>
        </w:rPr>
        <w:t xml:space="preserve"> </w:t>
      </w:r>
      <w:r w:rsidR="00415495" w:rsidRPr="008A77F2">
        <w:rPr>
          <w:lang w:eastAsia="en-GB" w:bidi="ar-SA"/>
        </w:rPr>
        <w:t>prepare the</w:t>
      </w:r>
      <w:r w:rsidR="00425C37" w:rsidRPr="008A77F2">
        <w:rPr>
          <w:lang w:eastAsia="en-GB" w:bidi="ar-SA"/>
        </w:rPr>
        <w:t xml:space="preserve"> employee liability information </w:t>
      </w:r>
      <w:r w:rsidR="009D0786" w:rsidRPr="008A77F2">
        <w:rPr>
          <w:lang w:eastAsia="en-GB" w:bidi="ar-SA"/>
        </w:rPr>
        <w:t>and</w:t>
      </w:r>
      <w:r w:rsidR="00415495" w:rsidRPr="008A77F2">
        <w:rPr>
          <w:lang w:eastAsia="en-GB" w:bidi="ar-SA"/>
        </w:rPr>
        <w:t xml:space="preserve"> provide </w:t>
      </w:r>
      <w:r w:rsidR="005C4781" w:rsidRPr="008A77F2">
        <w:rPr>
          <w:lang w:eastAsia="en-GB" w:bidi="ar-SA"/>
        </w:rPr>
        <w:t xml:space="preserve">it </w:t>
      </w:r>
      <w:r w:rsidR="00415495" w:rsidRPr="008A77F2">
        <w:rPr>
          <w:lang w:eastAsia="en-GB" w:bidi="ar-SA"/>
        </w:rPr>
        <w:t>to the transferee no later than 28 days prior to transfer.</w:t>
      </w:r>
      <w:r w:rsidR="00425C37" w:rsidRPr="008A77F2">
        <w:rPr>
          <w:lang w:eastAsia="en-GB" w:bidi="ar-SA"/>
        </w:rPr>
        <w:t xml:space="preserve"> </w:t>
      </w:r>
      <w:r w:rsidR="00644981" w:rsidRPr="008A77F2">
        <w:rPr>
          <w:lang w:eastAsia="en-GB" w:bidi="ar-SA"/>
        </w:rPr>
        <w:t xml:space="preserve">This is </w:t>
      </w:r>
      <w:r w:rsidR="009F07C7" w:rsidRPr="008A77F2">
        <w:rPr>
          <w:lang w:eastAsia="en-GB" w:bidi="ar-SA"/>
        </w:rPr>
        <w:t xml:space="preserve">part of </w:t>
      </w:r>
      <w:r w:rsidR="00644981" w:rsidRPr="008A77F2">
        <w:rPr>
          <w:lang w:eastAsia="en-GB" w:bidi="ar-SA"/>
        </w:rPr>
        <w:t>the due diligence</w:t>
      </w:r>
      <w:r w:rsidR="009F07C7" w:rsidRPr="008A77F2">
        <w:rPr>
          <w:lang w:eastAsia="en-GB" w:bidi="ar-SA"/>
        </w:rPr>
        <w:t xml:space="preserve"> process.</w:t>
      </w:r>
    </w:p>
    <w:p w14:paraId="710382D5" w14:textId="70AAF5C1" w:rsidR="00366AEC" w:rsidRPr="008A77F2" w:rsidRDefault="00366AEC" w:rsidP="00D777BC">
      <w:pPr>
        <w:pStyle w:val="ListParagraph"/>
        <w:numPr>
          <w:ilvl w:val="0"/>
          <w:numId w:val="26"/>
        </w:numPr>
        <w:rPr>
          <w:lang w:eastAsia="en-GB" w:bidi="ar-SA"/>
        </w:rPr>
      </w:pPr>
      <w:r w:rsidRPr="008A77F2">
        <w:rPr>
          <w:lang w:eastAsia="en-GB" w:bidi="ar-SA"/>
        </w:rPr>
        <w:t xml:space="preserve">HR Advice and Support will provide the transferee liability information in relation to </w:t>
      </w:r>
      <w:proofErr w:type="spellStart"/>
      <w:r w:rsidRPr="008A77F2">
        <w:rPr>
          <w:lang w:eastAsia="en-GB" w:bidi="ar-SA"/>
        </w:rPr>
        <w:t>e.g</w:t>
      </w:r>
      <w:proofErr w:type="spellEnd"/>
      <w:r w:rsidRPr="008A77F2">
        <w:rPr>
          <w:lang w:eastAsia="en-GB" w:bidi="ar-SA"/>
        </w:rPr>
        <w:t xml:space="preserve"> discipline/grievance/legal claims.</w:t>
      </w:r>
    </w:p>
    <w:p w14:paraId="63723037" w14:textId="42030D4A" w:rsidR="009D0786" w:rsidRPr="008A77F2" w:rsidRDefault="004411E3" w:rsidP="006E4379">
      <w:pPr>
        <w:pStyle w:val="ListParagraph"/>
        <w:numPr>
          <w:ilvl w:val="0"/>
          <w:numId w:val="26"/>
        </w:numPr>
        <w:rPr>
          <w:lang w:eastAsia="en-GB" w:bidi="ar-SA"/>
        </w:rPr>
      </w:pPr>
      <w:r w:rsidRPr="008A77F2">
        <w:rPr>
          <w:lang w:eastAsia="en-GB" w:bidi="ar-SA"/>
        </w:rPr>
        <w:t xml:space="preserve">Employees who are not transferring should be kept informed of what is happening and any impact on them. </w:t>
      </w:r>
    </w:p>
    <w:p w14:paraId="0A21A681" w14:textId="69A2E49F" w:rsidR="006E4379" w:rsidRPr="008A77F2" w:rsidRDefault="006E4379" w:rsidP="006E4379">
      <w:pPr>
        <w:pStyle w:val="ListParagraph"/>
        <w:numPr>
          <w:ilvl w:val="0"/>
          <w:numId w:val="26"/>
        </w:numPr>
        <w:rPr>
          <w:lang w:eastAsia="en-GB" w:bidi="ar-SA"/>
        </w:rPr>
      </w:pPr>
      <w:r w:rsidRPr="008A77F2">
        <w:rPr>
          <w:lang w:eastAsia="en-GB" w:bidi="ar-SA"/>
        </w:rPr>
        <w:t>The headteacher will liaise with Payroll and Employee Services to obtain details of personal data verification for school to issue to employees.</w:t>
      </w:r>
    </w:p>
    <w:p w14:paraId="2EB09575" w14:textId="77777777" w:rsidR="00EC4E9B" w:rsidRPr="008A77F2" w:rsidRDefault="00EC4E9B" w:rsidP="009D0786">
      <w:pPr>
        <w:pStyle w:val="ListParagraph"/>
        <w:rPr>
          <w:i/>
          <w:lang w:eastAsia="en-GB" w:bidi="ar-SA"/>
        </w:rPr>
      </w:pPr>
    </w:p>
    <w:p w14:paraId="47627D6C" w14:textId="77777777" w:rsidR="009D0786" w:rsidRPr="008A77F2" w:rsidRDefault="009D0786" w:rsidP="00001089">
      <w:pPr>
        <w:pStyle w:val="Heading3"/>
        <w:rPr>
          <w:lang w:eastAsia="en-GB" w:bidi="ar-SA"/>
        </w:rPr>
      </w:pPr>
      <w:r w:rsidRPr="008A77F2">
        <w:rPr>
          <w:lang w:eastAsia="en-GB" w:bidi="ar-SA"/>
        </w:rPr>
        <w:t>Transfers into the school</w:t>
      </w:r>
    </w:p>
    <w:p w14:paraId="287282DC" w14:textId="1B5BE091" w:rsidR="009D0786" w:rsidRPr="008A77F2" w:rsidRDefault="009D0786" w:rsidP="009D0786">
      <w:pPr>
        <w:pStyle w:val="ListParagraph"/>
        <w:numPr>
          <w:ilvl w:val="0"/>
          <w:numId w:val="28"/>
        </w:numPr>
        <w:rPr>
          <w:lang w:eastAsia="en-GB" w:bidi="ar-SA"/>
        </w:rPr>
      </w:pPr>
      <w:r w:rsidRPr="008A77F2">
        <w:rPr>
          <w:lang w:eastAsia="en-GB" w:bidi="ar-SA"/>
        </w:rPr>
        <w:t>The headteacher and the HR Advice and Support representative have an initial meeting with the transfer</w:t>
      </w:r>
      <w:r w:rsidR="007041FB" w:rsidRPr="008A77F2">
        <w:rPr>
          <w:lang w:eastAsia="en-GB" w:bidi="ar-SA"/>
        </w:rPr>
        <w:t>or (current employer)</w:t>
      </w:r>
      <w:r w:rsidR="00366AEC" w:rsidRPr="008A77F2">
        <w:rPr>
          <w:lang w:eastAsia="en-GB" w:bidi="ar-SA"/>
        </w:rPr>
        <w:t>,</w:t>
      </w:r>
      <w:r w:rsidR="008A77F2">
        <w:rPr>
          <w:lang w:eastAsia="en-GB" w:bidi="ar-SA"/>
        </w:rPr>
        <w:t xml:space="preserve"> </w:t>
      </w:r>
      <w:r w:rsidR="00366AEC" w:rsidRPr="008A77F2">
        <w:rPr>
          <w:lang w:eastAsia="en-GB" w:bidi="ar-SA"/>
        </w:rPr>
        <w:t>wherever possible,</w:t>
      </w:r>
      <w:r w:rsidRPr="008A77F2">
        <w:rPr>
          <w:lang w:eastAsia="en-GB" w:bidi="ar-SA"/>
        </w:rPr>
        <w:t xml:space="preserve"> to identify those employees </w:t>
      </w:r>
      <w:r w:rsidR="005E4E60">
        <w:rPr>
          <w:lang w:eastAsia="en-GB" w:bidi="ar-SA"/>
        </w:rPr>
        <w:t xml:space="preserve">and people assigned to services at the school who are </w:t>
      </w:r>
      <w:r w:rsidRPr="008A77F2">
        <w:rPr>
          <w:lang w:eastAsia="en-GB" w:bidi="ar-SA"/>
        </w:rPr>
        <w:t>eligible to transfer into the school.</w:t>
      </w:r>
      <w:r w:rsidR="009F07C7" w:rsidRPr="008A77F2">
        <w:rPr>
          <w:lang w:eastAsia="en-GB" w:bidi="ar-SA"/>
        </w:rPr>
        <w:t xml:space="preserve"> </w:t>
      </w:r>
      <w:r w:rsidR="00366AEC" w:rsidRPr="008A77F2">
        <w:rPr>
          <w:lang w:eastAsia="en-GB" w:bidi="ar-SA"/>
        </w:rPr>
        <w:t>T</w:t>
      </w:r>
      <w:r w:rsidR="009F07C7" w:rsidRPr="008A77F2">
        <w:rPr>
          <w:lang w:eastAsia="en-GB" w:bidi="ar-SA"/>
        </w:rPr>
        <w:t>he information is usually anonymous at this stage.</w:t>
      </w:r>
    </w:p>
    <w:p w14:paraId="4C12F79B" w14:textId="7EBC8738" w:rsidR="00BC7673" w:rsidRPr="008A77F2" w:rsidRDefault="00AF1A90" w:rsidP="001530A9">
      <w:pPr>
        <w:pStyle w:val="ListParagraph"/>
        <w:numPr>
          <w:ilvl w:val="0"/>
          <w:numId w:val="28"/>
        </w:numPr>
        <w:rPr>
          <w:lang w:eastAsia="en-GB" w:bidi="ar-SA"/>
        </w:rPr>
      </w:pPr>
      <w:r w:rsidRPr="008A77F2">
        <w:rPr>
          <w:lang w:eastAsia="en-GB" w:bidi="ar-SA"/>
        </w:rPr>
        <w:t>A</w:t>
      </w:r>
      <w:r w:rsidR="009D0786" w:rsidRPr="008A77F2">
        <w:rPr>
          <w:lang w:eastAsia="en-GB" w:bidi="ar-SA"/>
        </w:rPr>
        <w:t xml:space="preserve">ny measures proposed by the school in connection with the transfer </w:t>
      </w:r>
      <w:r w:rsidRPr="008A77F2">
        <w:rPr>
          <w:lang w:eastAsia="en-GB" w:bidi="ar-SA"/>
        </w:rPr>
        <w:t>are identified and confirmed in writing to the transfer</w:t>
      </w:r>
      <w:r w:rsidR="007041FB" w:rsidRPr="008A77F2">
        <w:rPr>
          <w:lang w:eastAsia="en-GB" w:bidi="ar-SA"/>
        </w:rPr>
        <w:t>or</w:t>
      </w:r>
      <w:r w:rsidRPr="008A77F2">
        <w:rPr>
          <w:lang w:eastAsia="en-GB" w:bidi="ar-SA"/>
        </w:rPr>
        <w:t xml:space="preserve"> as soon as possible</w:t>
      </w:r>
      <w:r w:rsidR="005C4781" w:rsidRPr="008A77F2">
        <w:rPr>
          <w:lang w:eastAsia="en-GB" w:bidi="ar-SA"/>
        </w:rPr>
        <w:t xml:space="preserve">. </w:t>
      </w:r>
      <w:r w:rsidR="00E27C9D" w:rsidRPr="008A77F2">
        <w:rPr>
          <w:lang w:eastAsia="en-GB" w:bidi="ar-SA"/>
        </w:rPr>
        <w:t>(see paragraph 2.4)</w:t>
      </w:r>
    </w:p>
    <w:p w14:paraId="0EB1CC4E" w14:textId="48B3BB33" w:rsidR="00217E3A" w:rsidRPr="008A77F2" w:rsidRDefault="00217E3A" w:rsidP="001530A9">
      <w:pPr>
        <w:pStyle w:val="ListParagraph"/>
        <w:numPr>
          <w:ilvl w:val="0"/>
          <w:numId w:val="28"/>
        </w:numPr>
        <w:rPr>
          <w:lang w:eastAsia="en-GB" w:bidi="ar-SA"/>
        </w:rPr>
      </w:pPr>
      <w:r w:rsidRPr="008A77F2">
        <w:rPr>
          <w:lang w:eastAsia="en-GB" w:bidi="ar-SA"/>
        </w:rPr>
        <w:t xml:space="preserve">Agree dates for </w:t>
      </w:r>
      <w:r w:rsidR="00E27C9D" w:rsidRPr="008A77F2">
        <w:rPr>
          <w:lang w:eastAsia="en-GB" w:bidi="ar-SA"/>
        </w:rPr>
        <w:t xml:space="preserve">joint </w:t>
      </w:r>
      <w:r w:rsidRPr="008A77F2">
        <w:rPr>
          <w:lang w:eastAsia="en-GB" w:bidi="ar-SA"/>
        </w:rPr>
        <w:t>consultation meetings with the transferor and ensure an appropriate room/venue is available.</w:t>
      </w:r>
    </w:p>
    <w:p w14:paraId="55F77B64" w14:textId="57AD09AB" w:rsidR="009D0786" w:rsidRPr="008A77F2" w:rsidRDefault="001E1667" w:rsidP="009D0786">
      <w:pPr>
        <w:pStyle w:val="ListParagraph"/>
        <w:numPr>
          <w:ilvl w:val="0"/>
          <w:numId w:val="28"/>
        </w:numPr>
        <w:rPr>
          <w:lang w:eastAsia="en-GB" w:bidi="ar-SA"/>
        </w:rPr>
      </w:pPr>
      <w:r w:rsidRPr="008A77F2">
        <w:rPr>
          <w:lang w:eastAsia="en-GB" w:bidi="ar-SA"/>
        </w:rPr>
        <w:lastRenderedPageBreak/>
        <w:t>The transferor will be responsible for writing to trade unions and affected employees to inform them of the proposed transfer and consultation process</w:t>
      </w:r>
      <w:r w:rsidR="004411E3" w:rsidRPr="008A77F2">
        <w:rPr>
          <w:lang w:eastAsia="en-GB" w:bidi="ar-SA"/>
        </w:rPr>
        <w:t xml:space="preserve"> and th</w:t>
      </w:r>
      <w:r w:rsidR="003F46D0" w:rsidRPr="008A77F2">
        <w:rPr>
          <w:lang w:eastAsia="en-GB" w:bidi="ar-SA"/>
        </w:rPr>
        <w:t>e headteacher and HR should attend any consultation meetings</w:t>
      </w:r>
      <w:r w:rsidR="004C2EB1" w:rsidRPr="008A77F2">
        <w:rPr>
          <w:lang w:eastAsia="en-GB" w:bidi="ar-SA"/>
        </w:rPr>
        <w:t>.</w:t>
      </w:r>
    </w:p>
    <w:p w14:paraId="124587DE" w14:textId="77777777" w:rsidR="004411E3" w:rsidRPr="008A77F2" w:rsidRDefault="004411E3" w:rsidP="004411E3">
      <w:pPr>
        <w:pStyle w:val="ListParagraph"/>
        <w:numPr>
          <w:ilvl w:val="0"/>
          <w:numId w:val="26"/>
        </w:numPr>
        <w:rPr>
          <w:lang w:eastAsia="en-GB" w:bidi="ar-SA"/>
        </w:rPr>
      </w:pPr>
      <w:r w:rsidRPr="008A77F2">
        <w:rPr>
          <w:lang w:eastAsia="en-GB" w:bidi="ar-SA"/>
        </w:rPr>
        <w:t xml:space="preserve">Existing school employees should be kept informed of what is happening and any impact on them. </w:t>
      </w:r>
    </w:p>
    <w:p w14:paraId="107A0FA4" w14:textId="554DA99F" w:rsidR="001E1667" w:rsidRPr="008A77F2" w:rsidRDefault="001E1667" w:rsidP="009D0786">
      <w:pPr>
        <w:pStyle w:val="ListParagraph"/>
        <w:numPr>
          <w:ilvl w:val="0"/>
          <w:numId w:val="28"/>
        </w:numPr>
        <w:rPr>
          <w:lang w:eastAsia="en-GB" w:bidi="ar-SA"/>
        </w:rPr>
      </w:pPr>
      <w:r w:rsidRPr="008A77F2">
        <w:rPr>
          <w:lang w:eastAsia="en-GB" w:bidi="ar-SA"/>
        </w:rPr>
        <w:t>The headteacher should request the employe</w:t>
      </w:r>
      <w:r w:rsidR="004C2EB1" w:rsidRPr="008A77F2">
        <w:rPr>
          <w:lang w:eastAsia="en-GB" w:bidi="ar-SA"/>
        </w:rPr>
        <w:t>e</w:t>
      </w:r>
      <w:r w:rsidRPr="008A77F2">
        <w:rPr>
          <w:lang w:eastAsia="en-GB" w:bidi="ar-SA"/>
        </w:rPr>
        <w:t xml:space="preserve"> liability information from the transferor as early as possible. The transferor is required by law to provide this information </w:t>
      </w:r>
      <w:r w:rsidRPr="008A77F2">
        <w:rPr>
          <w:b/>
          <w:lang w:eastAsia="en-GB" w:bidi="ar-SA"/>
        </w:rPr>
        <w:t>no later than 28 days prior to the transfer date</w:t>
      </w:r>
      <w:r w:rsidR="009F07C7" w:rsidRPr="008A77F2">
        <w:rPr>
          <w:lang w:eastAsia="en-GB" w:bidi="ar-SA"/>
        </w:rPr>
        <w:t xml:space="preserve"> as part of the due diligence process</w:t>
      </w:r>
      <w:r w:rsidR="00ED5CF8" w:rsidRPr="008A77F2">
        <w:rPr>
          <w:lang w:eastAsia="en-GB" w:bidi="ar-SA"/>
        </w:rPr>
        <w:t>. This must legally include:</w:t>
      </w:r>
    </w:p>
    <w:p w14:paraId="35B6BEB3" w14:textId="77777777" w:rsidR="00ED5CF8" w:rsidRDefault="00ED5CF8" w:rsidP="00ED5CF8">
      <w:pPr>
        <w:pStyle w:val="ListParagraph"/>
        <w:numPr>
          <w:ilvl w:val="0"/>
          <w:numId w:val="30"/>
        </w:numPr>
        <w:rPr>
          <w:lang w:eastAsia="en-GB" w:bidi="ar-SA"/>
        </w:rPr>
      </w:pPr>
      <w:r>
        <w:rPr>
          <w:lang w:eastAsia="en-GB" w:bidi="ar-SA"/>
        </w:rPr>
        <w:t>Employee identity</w:t>
      </w:r>
    </w:p>
    <w:p w14:paraId="3EBEB4BD" w14:textId="77777777" w:rsidR="00ED5CF8" w:rsidRDefault="00ED5CF8" w:rsidP="00ED5CF8">
      <w:pPr>
        <w:pStyle w:val="ListParagraph"/>
        <w:numPr>
          <w:ilvl w:val="0"/>
          <w:numId w:val="30"/>
        </w:numPr>
        <w:rPr>
          <w:lang w:eastAsia="en-GB" w:bidi="ar-SA"/>
        </w:rPr>
      </w:pPr>
      <w:r>
        <w:rPr>
          <w:lang w:eastAsia="en-GB" w:bidi="ar-SA"/>
        </w:rPr>
        <w:t>Age of employees who are transferring</w:t>
      </w:r>
    </w:p>
    <w:p w14:paraId="35289D17" w14:textId="77777777" w:rsidR="00ED5CF8" w:rsidRDefault="00ED5CF8" w:rsidP="00ED5CF8">
      <w:pPr>
        <w:pStyle w:val="ListParagraph"/>
        <w:numPr>
          <w:ilvl w:val="0"/>
          <w:numId w:val="30"/>
        </w:numPr>
        <w:rPr>
          <w:lang w:eastAsia="en-GB" w:bidi="ar-SA"/>
        </w:rPr>
      </w:pPr>
      <w:r>
        <w:rPr>
          <w:lang w:eastAsia="en-GB" w:bidi="ar-SA"/>
        </w:rPr>
        <w:t>Information contained in their Statement of Particulars</w:t>
      </w:r>
    </w:p>
    <w:p w14:paraId="721F3A71" w14:textId="77777777" w:rsidR="00ED5CF8" w:rsidRDefault="00ED5CF8" w:rsidP="00ED5CF8">
      <w:pPr>
        <w:pStyle w:val="ListParagraph"/>
        <w:numPr>
          <w:ilvl w:val="0"/>
          <w:numId w:val="30"/>
        </w:numPr>
        <w:rPr>
          <w:lang w:eastAsia="en-GB" w:bidi="ar-SA"/>
        </w:rPr>
      </w:pPr>
      <w:r>
        <w:rPr>
          <w:lang w:eastAsia="en-GB" w:bidi="ar-SA"/>
        </w:rPr>
        <w:t>Information relating to any collective agreements that apply</w:t>
      </w:r>
    </w:p>
    <w:p w14:paraId="3311FF02" w14:textId="77777777" w:rsidR="00ED5CF8" w:rsidRDefault="00ED5CF8" w:rsidP="00ED5CF8">
      <w:pPr>
        <w:pStyle w:val="ListParagraph"/>
        <w:numPr>
          <w:ilvl w:val="0"/>
          <w:numId w:val="30"/>
        </w:numPr>
        <w:rPr>
          <w:lang w:eastAsia="en-GB" w:bidi="ar-SA"/>
        </w:rPr>
      </w:pPr>
      <w:r>
        <w:rPr>
          <w:lang w:eastAsia="en-GB" w:bidi="ar-SA"/>
        </w:rPr>
        <w:t xml:space="preserve">Disciplinary action </w:t>
      </w:r>
      <w:r w:rsidR="003F46D0">
        <w:rPr>
          <w:lang w:eastAsia="en-GB" w:bidi="ar-SA"/>
        </w:rPr>
        <w:t>within the previous two years (where statutory procedure applied)</w:t>
      </w:r>
    </w:p>
    <w:p w14:paraId="5470B03D" w14:textId="77777777" w:rsidR="003F46D0" w:rsidRDefault="003F46D0" w:rsidP="00ED5CF8">
      <w:pPr>
        <w:pStyle w:val="ListParagraph"/>
        <w:numPr>
          <w:ilvl w:val="0"/>
          <w:numId w:val="30"/>
        </w:numPr>
        <w:rPr>
          <w:lang w:eastAsia="en-GB" w:bidi="ar-SA"/>
        </w:rPr>
      </w:pPr>
      <w:r>
        <w:rPr>
          <w:lang w:eastAsia="en-GB" w:bidi="ar-SA"/>
        </w:rPr>
        <w:t>Grievances raised by employees within the preceding two years (where statutory procedure applied)</w:t>
      </w:r>
    </w:p>
    <w:p w14:paraId="0225FD10" w14:textId="77777777" w:rsidR="00425C37" w:rsidRDefault="003F46D0" w:rsidP="002B6309">
      <w:pPr>
        <w:pStyle w:val="ListParagraph"/>
        <w:numPr>
          <w:ilvl w:val="0"/>
          <w:numId w:val="30"/>
        </w:numPr>
        <w:rPr>
          <w:lang w:eastAsia="en-GB" w:bidi="ar-SA"/>
        </w:rPr>
      </w:pPr>
      <w:r>
        <w:rPr>
          <w:lang w:eastAsia="en-GB" w:bidi="ar-SA"/>
        </w:rPr>
        <w:t>Any legal action taken by the employees against the school within the preceding two years and potential legal action the school has reasonable grounds to believe such action might occur</w:t>
      </w:r>
    </w:p>
    <w:p w14:paraId="2A5BF723" w14:textId="5ED47945" w:rsidR="004C2EB1" w:rsidRDefault="00BD1BF0" w:rsidP="004C2EB1">
      <w:pPr>
        <w:pStyle w:val="ListParagraph"/>
        <w:numPr>
          <w:ilvl w:val="0"/>
          <w:numId w:val="28"/>
        </w:numPr>
        <w:rPr>
          <w:lang w:eastAsia="en-GB" w:bidi="ar-SA"/>
        </w:rPr>
      </w:pPr>
      <w:r w:rsidRPr="008A77F2">
        <w:rPr>
          <w:lang w:eastAsia="en-GB" w:bidi="ar-SA"/>
        </w:rPr>
        <w:t xml:space="preserve">Once the employee information is received the headteacher must send this to </w:t>
      </w:r>
      <w:r w:rsidR="004C2EB1" w:rsidRPr="008A77F2">
        <w:rPr>
          <w:lang w:eastAsia="en-GB" w:bidi="ar-SA"/>
        </w:rPr>
        <w:t xml:space="preserve">Payroll and Employee Services </w:t>
      </w:r>
      <w:r w:rsidRPr="008A77F2">
        <w:rPr>
          <w:lang w:eastAsia="en-GB" w:bidi="ar-SA"/>
        </w:rPr>
        <w:t>as soon as possible.</w:t>
      </w:r>
    </w:p>
    <w:p w14:paraId="2D9B8EE7" w14:textId="5F1AE4FD" w:rsidR="009D0786" w:rsidRDefault="009D0786" w:rsidP="00EC4E9B">
      <w:pPr>
        <w:ind w:left="720"/>
        <w:rPr>
          <w:i/>
          <w:lang w:eastAsia="en-GB" w:bidi="ar-SA"/>
        </w:rPr>
      </w:pPr>
    </w:p>
    <w:p w14:paraId="1BC8D231" w14:textId="77777777" w:rsidR="00425C37" w:rsidRPr="00373D94" w:rsidRDefault="00425C37" w:rsidP="00001089">
      <w:pPr>
        <w:pStyle w:val="Heading2"/>
      </w:pPr>
      <w:r w:rsidRPr="00373D94">
        <w:t>Consultation</w:t>
      </w:r>
    </w:p>
    <w:p w14:paraId="02345E59" w14:textId="28FD3579" w:rsidR="00FE3CB4" w:rsidRPr="008A77F2" w:rsidRDefault="009D0786" w:rsidP="002B6309">
      <w:pPr>
        <w:rPr>
          <w:lang w:eastAsia="en-GB" w:bidi="ar-SA"/>
        </w:rPr>
      </w:pPr>
      <w:r w:rsidRPr="008A77F2">
        <w:rPr>
          <w:lang w:eastAsia="en-GB" w:bidi="ar-SA"/>
        </w:rPr>
        <w:t>A TUPE notification letter for trade unions and affected employees will be pr</w:t>
      </w:r>
      <w:r w:rsidR="004D4F45" w:rsidRPr="008A77F2">
        <w:rPr>
          <w:lang w:eastAsia="en-GB" w:bidi="ar-SA"/>
        </w:rPr>
        <w:t>ovided</w:t>
      </w:r>
      <w:r w:rsidRPr="008A77F2">
        <w:rPr>
          <w:lang w:eastAsia="en-GB" w:bidi="ar-SA"/>
        </w:rPr>
        <w:t xml:space="preserve"> </w:t>
      </w:r>
      <w:r w:rsidR="007E2A19" w:rsidRPr="008A77F2">
        <w:rPr>
          <w:lang w:eastAsia="en-GB" w:bidi="ar-SA"/>
        </w:rPr>
        <w:t xml:space="preserve">by the transferor </w:t>
      </w:r>
      <w:r w:rsidRPr="008A77F2">
        <w:rPr>
          <w:lang w:eastAsia="en-GB" w:bidi="ar-SA"/>
        </w:rPr>
        <w:t xml:space="preserve">with details of the consultation process, reason for the transfer, date of transfer and any proposed measures. </w:t>
      </w:r>
      <w:r w:rsidR="00410578" w:rsidRPr="008A77F2">
        <w:rPr>
          <w:lang w:eastAsia="en-GB" w:bidi="ar-SA"/>
        </w:rPr>
        <w:t xml:space="preserve">A template letter </w:t>
      </w:r>
      <w:r w:rsidR="00F05B13" w:rsidRPr="008A77F2">
        <w:rPr>
          <w:lang w:eastAsia="en-GB" w:bidi="ar-SA"/>
        </w:rPr>
        <w:t>will be provided by HR.</w:t>
      </w:r>
      <w:r w:rsidR="002B6309" w:rsidRPr="008A77F2">
        <w:rPr>
          <w:lang w:eastAsia="en-GB" w:bidi="ar-SA"/>
        </w:rPr>
        <w:t xml:space="preserve"> </w:t>
      </w:r>
      <w:r w:rsidR="00C038FF" w:rsidRPr="008A77F2">
        <w:rPr>
          <w:lang w:eastAsia="en-GB" w:bidi="ar-SA"/>
        </w:rPr>
        <w:t xml:space="preserve">Copies of the TUPE Frequently Asked Questions should be </w:t>
      </w:r>
      <w:r w:rsidR="00FA0B77" w:rsidRPr="008A77F2">
        <w:rPr>
          <w:lang w:eastAsia="en-GB" w:bidi="ar-SA"/>
        </w:rPr>
        <w:t>made available to the em</w:t>
      </w:r>
      <w:r w:rsidR="004D4F45" w:rsidRPr="008A77F2">
        <w:rPr>
          <w:lang w:eastAsia="en-GB" w:bidi="ar-SA"/>
        </w:rPr>
        <w:t>p</w:t>
      </w:r>
      <w:r w:rsidR="00FA0B77" w:rsidRPr="008A77F2">
        <w:rPr>
          <w:lang w:eastAsia="en-GB" w:bidi="ar-SA"/>
        </w:rPr>
        <w:t>loyees</w:t>
      </w:r>
      <w:r w:rsidR="00410578" w:rsidRPr="008A77F2">
        <w:rPr>
          <w:lang w:eastAsia="en-GB" w:bidi="ar-SA"/>
        </w:rPr>
        <w:t xml:space="preserve"> </w:t>
      </w:r>
      <w:r w:rsidR="00256AB5" w:rsidRPr="008A77F2">
        <w:rPr>
          <w:lang w:eastAsia="en-GB" w:bidi="ar-SA"/>
        </w:rPr>
        <w:t>by the headteacher which will be provided by HR.</w:t>
      </w:r>
    </w:p>
    <w:p w14:paraId="175E6C10" w14:textId="77777777" w:rsidR="00256AB5" w:rsidRPr="008A77F2" w:rsidRDefault="00256AB5" w:rsidP="002B6309">
      <w:pPr>
        <w:rPr>
          <w:lang w:eastAsia="en-GB" w:bidi="ar-SA"/>
        </w:rPr>
      </w:pPr>
    </w:p>
    <w:p w14:paraId="5621F964" w14:textId="67F7B656" w:rsidR="00FE3CB4" w:rsidRPr="008A77F2" w:rsidRDefault="00256AB5" w:rsidP="002B6309">
      <w:pPr>
        <w:rPr>
          <w:lang w:eastAsia="en-GB" w:bidi="ar-SA"/>
        </w:rPr>
      </w:pPr>
      <w:r w:rsidRPr="008A77F2">
        <w:rPr>
          <w:lang w:eastAsia="en-GB" w:bidi="ar-SA"/>
        </w:rPr>
        <w:t>T</w:t>
      </w:r>
      <w:r w:rsidR="004F5480" w:rsidRPr="008A77F2">
        <w:rPr>
          <w:lang w:eastAsia="en-GB" w:bidi="ar-SA"/>
        </w:rPr>
        <w:t xml:space="preserve">he </w:t>
      </w:r>
      <w:r w:rsidR="007E2A19" w:rsidRPr="008A77F2">
        <w:rPr>
          <w:lang w:eastAsia="en-GB" w:bidi="ar-SA"/>
        </w:rPr>
        <w:t>transfer</w:t>
      </w:r>
      <w:r w:rsidR="000E26C0" w:rsidRPr="008A77F2">
        <w:rPr>
          <w:lang w:eastAsia="en-GB" w:bidi="ar-SA"/>
        </w:rPr>
        <w:t>or</w:t>
      </w:r>
      <w:r w:rsidR="004F5480" w:rsidRPr="008A77F2">
        <w:rPr>
          <w:lang w:eastAsia="en-GB" w:bidi="ar-SA"/>
        </w:rPr>
        <w:t xml:space="preserve"> </w:t>
      </w:r>
      <w:r w:rsidR="00013E08" w:rsidRPr="008A77F2">
        <w:rPr>
          <w:lang w:eastAsia="en-GB" w:bidi="ar-SA"/>
        </w:rPr>
        <w:t>will</w:t>
      </w:r>
      <w:r w:rsidR="004F5480" w:rsidRPr="008A77F2">
        <w:rPr>
          <w:lang w:eastAsia="en-GB" w:bidi="ar-SA"/>
        </w:rPr>
        <w:t xml:space="preserve"> circulate the consultation information to the trade unions and affected employees which starts the</w:t>
      </w:r>
      <w:r w:rsidR="00FE3CB4" w:rsidRPr="008A77F2">
        <w:rPr>
          <w:lang w:eastAsia="en-GB" w:bidi="ar-SA"/>
        </w:rPr>
        <w:t xml:space="preserve"> formal</w:t>
      </w:r>
      <w:r w:rsidR="004F5480" w:rsidRPr="008A77F2">
        <w:rPr>
          <w:lang w:eastAsia="en-GB" w:bidi="ar-SA"/>
        </w:rPr>
        <w:t xml:space="preserve"> </w:t>
      </w:r>
      <w:r w:rsidR="00FE3CB4" w:rsidRPr="008A77F2">
        <w:rPr>
          <w:lang w:eastAsia="en-GB" w:bidi="ar-SA"/>
        </w:rPr>
        <w:t>consultation process</w:t>
      </w:r>
      <w:r w:rsidR="004F5480" w:rsidRPr="008A77F2">
        <w:rPr>
          <w:lang w:eastAsia="en-GB" w:bidi="ar-SA"/>
        </w:rPr>
        <w:t xml:space="preserve">. </w:t>
      </w:r>
      <w:r w:rsidR="007E2A19" w:rsidRPr="008A77F2">
        <w:rPr>
          <w:lang w:eastAsia="en-GB" w:bidi="ar-SA"/>
        </w:rPr>
        <w:t xml:space="preserve">It is important to ensure that the consultation information is sent to absent employees. </w:t>
      </w:r>
      <w:r w:rsidRPr="008A77F2">
        <w:rPr>
          <w:lang w:eastAsia="en-GB" w:bidi="ar-SA"/>
        </w:rPr>
        <w:t xml:space="preserve">It is recommended that </w:t>
      </w:r>
      <w:r w:rsidR="00836868" w:rsidRPr="008A77F2">
        <w:rPr>
          <w:lang w:eastAsia="en-GB" w:bidi="ar-SA"/>
        </w:rPr>
        <w:t xml:space="preserve">formal </w:t>
      </w:r>
      <w:r w:rsidRPr="008A77F2">
        <w:rPr>
          <w:lang w:eastAsia="en-GB" w:bidi="ar-SA"/>
        </w:rPr>
        <w:t>c</w:t>
      </w:r>
      <w:r w:rsidR="004F5480" w:rsidRPr="008A77F2">
        <w:rPr>
          <w:lang w:eastAsia="en-GB" w:bidi="ar-SA"/>
        </w:rPr>
        <w:t>onsultation</w:t>
      </w:r>
      <w:r w:rsidR="006414DF" w:rsidRPr="008A77F2">
        <w:rPr>
          <w:lang w:eastAsia="en-GB" w:bidi="ar-SA"/>
        </w:rPr>
        <w:t xml:space="preserve"> lasts</w:t>
      </w:r>
      <w:r w:rsidR="00FE3CB4" w:rsidRPr="008A77F2">
        <w:rPr>
          <w:lang w:eastAsia="en-GB" w:bidi="ar-SA"/>
        </w:rPr>
        <w:t xml:space="preserve"> </w:t>
      </w:r>
      <w:r w:rsidRPr="008A77F2">
        <w:rPr>
          <w:lang w:eastAsia="en-GB" w:bidi="ar-SA"/>
        </w:rPr>
        <w:t>at least a minimum of 3</w:t>
      </w:r>
      <w:r w:rsidR="00FE3CB4" w:rsidRPr="008A77F2">
        <w:rPr>
          <w:lang w:eastAsia="en-GB" w:bidi="ar-SA"/>
        </w:rPr>
        <w:t xml:space="preserve"> weeks.</w:t>
      </w:r>
    </w:p>
    <w:p w14:paraId="70695D86" w14:textId="77777777" w:rsidR="004D4F45" w:rsidRPr="00373D94" w:rsidRDefault="004D4F45" w:rsidP="002B6309">
      <w:pPr>
        <w:rPr>
          <w:highlight w:val="yellow"/>
          <w:lang w:eastAsia="en-GB" w:bidi="ar-SA"/>
        </w:rPr>
      </w:pPr>
    </w:p>
    <w:p w14:paraId="1535C29C" w14:textId="6B4D25A2" w:rsidR="004D4F45" w:rsidRDefault="004D4F45" w:rsidP="004D4F45">
      <w:pPr>
        <w:rPr>
          <w:lang w:eastAsia="en-GB" w:bidi="ar-SA"/>
        </w:rPr>
      </w:pPr>
      <w:r w:rsidRPr="008A77F2">
        <w:rPr>
          <w:lang w:eastAsia="en-GB" w:bidi="ar-SA"/>
        </w:rPr>
        <w:t xml:space="preserve">It is recommended that representatives from both the current and new employers attend the consultation meetings with the trade unions and employees. The headteacher and Chair or Vice Chair of </w:t>
      </w:r>
      <w:r w:rsidR="00836868" w:rsidRPr="008A77F2">
        <w:rPr>
          <w:lang w:eastAsia="en-GB" w:bidi="ar-SA"/>
        </w:rPr>
        <w:t>G</w:t>
      </w:r>
      <w:r w:rsidRPr="008A77F2">
        <w:rPr>
          <w:lang w:eastAsia="en-GB" w:bidi="ar-SA"/>
        </w:rPr>
        <w:t>overnors should also attend</w:t>
      </w:r>
      <w:r w:rsidR="00836868" w:rsidRPr="008A77F2">
        <w:rPr>
          <w:lang w:eastAsia="en-GB" w:bidi="ar-SA"/>
        </w:rPr>
        <w:t xml:space="preserve"> where DCC are not the employer</w:t>
      </w:r>
      <w:r w:rsidRPr="008A77F2">
        <w:rPr>
          <w:lang w:eastAsia="en-GB" w:bidi="ar-SA"/>
        </w:rPr>
        <w:t>. The school will be supported at the meetings by HR Advice and Support.</w:t>
      </w:r>
      <w:r>
        <w:rPr>
          <w:lang w:eastAsia="en-GB" w:bidi="ar-SA"/>
        </w:rPr>
        <w:t xml:space="preserve"> </w:t>
      </w:r>
    </w:p>
    <w:p w14:paraId="4A77A7EC" w14:textId="77777777" w:rsidR="002B6309" w:rsidRDefault="002B6309" w:rsidP="002B6309">
      <w:pPr>
        <w:rPr>
          <w:lang w:eastAsia="en-GB" w:bidi="ar-SA"/>
        </w:rPr>
      </w:pPr>
    </w:p>
    <w:p w14:paraId="6B71ECFC" w14:textId="2985131C" w:rsidR="00FE3CB4" w:rsidRDefault="00FE3CB4" w:rsidP="002B6309">
      <w:pPr>
        <w:rPr>
          <w:lang w:eastAsia="en-GB" w:bidi="ar-SA"/>
        </w:rPr>
      </w:pPr>
      <w:r w:rsidRPr="00FE3CB4">
        <w:rPr>
          <w:b/>
          <w:lang w:eastAsia="en-GB" w:bidi="ar-SA"/>
        </w:rPr>
        <w:t xml:space="preserve">Trade union </w:t>
      </w:r>
      <w:r w:rsidR="002B6309" w:rsidRPr="00FE3CB4">
        <w:rPr>
          <w:b/>
          <w:lang w:eastAsia="en-GB" w:bidi="ar-SA"/>
        </w:rPr>
        <w:t>consultation</w:t>
      </w:r>
      <w:r w:rsidR="002B6309">
        <w:rPr>
          <w:lang w:eastAsia="en-GB" w:bidi="ar-SA"/>
        </w:rPr>
        <w:t xml:space="preserve"> </w:t>
      </w:r>
      <w:r>
        <w:rPr>
          <w:lang w:eastAsia="en-GB" w:bidi="ar-SA"/>
        </w:rPr>
        <w:t xml:space="preserve">– </w:t>
      </w:r>
      <w:r w:rsidR="00836868">
        <w:rPr>
          <w:lang w:eastAsia="en-GB" w:bidi="ar-SA"/>
        </w:rPr>
        <w:t xml:space="preserve">it is recommended that </w:t>
      </w:r>
      <w:r>
        <w:rPr>
          <w:lang w:eastAsia="en-GB" w:bidi="ar-SA"/>
        </w:rPr>
        <w:t xml:space="preserve">this consultation </w:t>
      </w:r>
      <w:r w:rsidR="002B6309">
        <w:rPr>
          <w:lang w:eastAsia="en-GB" w:bidi="ar-SA"/>
        </w:rPr>
        <w:t>meeting</w:t>
      </w:r>
      <w:r>
        <w:rPr>
          <w:lang w:eastAsia="en-GB" w:bidi="ar-SA"/>
        </w:rPr>
        <w:t xml:space="preserve"> </w:t>
      </w:r>
      <w:r w:rsidR="00836868">
        <w:rPr>
          <w:lang w:eastAsia="en-GB" w:bidi="ar-SA"/>
        </w:rPr>
        <w:t xml:space="preserve">is </w:t>
      </w:r>
      <w:r>
        <w:rPr>
          <w:lang w:eastAsia="en-GB" w:bidi="ar-SA"/>
        </w:rPr>
        <w:t>scheduled</w:t>
      </w:r>
      <w:r w:rsidR="00C348A4">
        <w:rPr>
          <w:lang w:eastAsia="en-GB" w:bidi="ar-SA"/>
        </w:rPr>
        <w:t xml:space="preserve"> </w:t>
      </w:r>
      <w:r>
        <w:rPr>
          <w:lang w:eastAsia="en-GB" w:bidi="ar-SA"/>
        </w:rPr>
        <w:t xml:space="preserve">10 </w:t>
      </w:r>
      <w:r w:rsidR="002B6309">
        <w:rPr>
          <w:lang w:eastAsia="en-GB" w:bidi="ar-SA"/>
        </w:rPr>
        <w:t>working day</w:t>
      </w:r>
      <w:r>
        <w:rPr>
          <w:lang w:eastAsia="en-GB" w:bidi="ar-SA"/>
        </w:rPr>
        <w:t>s</w:t>
      </w:r>
      <w:r w:rsidR="002B6309">
        <w:rPr>
          <w:lang w:eastAsia="en-GB" w:bidi="ar-SA"/>
        </w:rPr>
        <w:t xml:space="preserve"> after </w:t>
      </w:r>
      <w:r w:rsidR="00AC232E">
        <w:rPr>
          <w:lang w:eastAsia="en-GB" w:bidi="ar-SA"/>
        </w:rPr>
        <w:t>the consultation letter</w:t>
      </w:r>
      <w:r>
        <w:rPr>
          <w:lang w:eastAsia="en-GB" w:bidi="ar-SA"/>
        </w:rPr>
        <w:t xml:space="preserve"> is issued.</w:t>
      </w:r>
      <w:r w:rsidR="00C348A4">
        <w:rPr>
          <w:lang w:eastAsia="en-GB" w:bidi="ar-SA"/>
        </w:rPr>
        <w:t xml:space="preserve"> </w:t>
      </w:r>
    </w:p>
    <w:p w14:paraId="0C9D811A" w14:textId="77777777" w:rsidR="00FE3CB4" w:rsidRDefault="00FE3CB4" w:rsidP="002B6309">
      <w:pPr>
        <w:rPr>
          <w:lang w:eastAsia="en-GB" w:bidi="ar-SA"/>
        </w:rPr>
      </w:pPr>
    </w:p>
    <w:p w14:paraId="116E782C" w14:textId="77777777" w:rsidR="00FE3CB4" w:rsidRDefault="00FE3CB4" w:rsidP="002B6309">
      <w:pPr>
        <w:rPr>
          <w:lang w:eastAsia="en-GB" w:bidi="ar-SA"/>
        </w:rPr>
      </w:pPr>
      <w:r>
        <w:rPr>
          <w:b/>
          <w:lang w:eastAsia="en-GB" w:bidi="ar-SA"/>
        </w:rPr>
        <w:t xml:space="preserve">Collective employee consultation </w:t>
      </w:r>
      <w:r>
        <w:rPr>
          <w:lang w:eastAsia="en-GB" w:bidi="ar-SA"/>
        </w:rPr>
        <w:t>– takes place as soon as possible following the trade union meeting. Where there are small numbers it can be combined with the trade union meeting.</w:t>
      </w:r>
    </w:p>
    <w:p w14:paraId="5604EC87" w14:textId="77777777" w:rsidR="00FE3CB4" w:rsidRDefault="00FE3CB4" w:rsidP="002B6309">
      <w:pPr>
        <w:rPr>
          <w:lang w:eastAsia="en-GB" w:bidi="ar-SA"/>
        </w:rPr>
      </w:pPr>
    </w:p>
    <w:p w14:paraId="1DEB4F4B" w14:textId="00757128" w:rsidR="007E2A19" w:rsidRDefault="00FE3CB4" w:rsidP="002B6309">
      <w:pPr>
        <w:rPr>
          <w:lang w:eastAsia="en-GB" w:bidi="ar-SA"/>
        </w:rPr>
      </w:pPr>
      <w:r w:rsidRPr="00FE3CB4">
        <w:rPr>
          <w:b/>
          <w:lang w:eastAsia="en-GB" w:bidi="ar-SA"/>
        </w:rPr>
        <w:t>Individual employee consultation</w:t>
      </w:r>
      <w:r>
        <w:rPr>
          <w:lang w:eastAsia="en-GB" w:bidi="ar-SA"/>
        </w:rPr>
        <w:t xml:space="preserve"> – arranged via the headteacher if requested </w:t>
      </w:r>
      <w:r w:rsidR="00217E3A">
        <w:rPr>
          <w:lang w:eastAsia="en-GB" w:bidi="ar-SA"/>
        </w:rPr>
        <w:t xml:space="preserve">by employees </w:t>
      </w:r>
      <w:r w:rsidR="00C348A4">
        <w:rPr>
          <w:lang w:eastAsia="en-GB" w:bidi="ar-SA"/>
        </w:rPr>
        <w:t>within the consultation period.</w:t>
      </w:r>
      <w:r w:rsidR="008A77F2">
        <w:rPr>
          <w:lang w:eastAsia="en-GB" w:bidi="ar-SA"/>
        </w:rPr>
        <w:t xml:space="preserve"> Employees and trade unions can make written representations for consideration.</w:t>
      </w:r>
    </w:p>
    <w:p w14:paraId="674DC570" w14:textId="2EC2E0A9" w:rsidR="000E26C0" w:rsidRDefault="000E26C0" w:rsidP="002B6309">
      <w:pPr>
        <w:rPr>
          <w:lang w:eastAsia="en-GB" w:bidi="ar-SA"/>
        </w:rPr>
      </w:pPr>
    </w:p>
    <w:p w14:paraId="2D9C47AF" w14:textId="303BB0DB" w:rsidR="007E2A19" w:rsidRDefault="00443521" w:rsidP="002B6309">
      <w:pPr>
        <w:rPr>
          <w:lang w:eastAsia="en-GB" w:bidi="ar-SA"/>
        </w:rPr>
      </w:pPr>
      <w:r>
        <w:rPr>
          <w:lang w:eastAsia="en-GB" w:bidi="ar-SA"/>
        </w:rPr>
        <w:lastRenderedPageBreak/>
        <w:t xml:space="preserve">The meetings are an opportunity for trade unions and employees to make representations and/or ask questions about the transfer of their employment. It is also an opportunity for any proposed measures to be discussed. </w:t>
      </w:r>
    </w:p>
    <w:p w14:paraId="5F76D0ED" w14:textId="77777777" w:rsidR="007E2A19" w:rsidRDefault="007E2A19" w:rsidP="002B6309">
      <w:pPr>
        <w:rPr>
          <w:lang w:eastAsia="en-GB" w:bidi="ar-SA"/>
        </w:rPr>
      </w:pPr>
    </w:p>
    <w:p w14:paraId="6C39F175" w14:textId="1AC157DD" w:rsidR="0074636F" w:rsidRDefault="00443521" w:rsidP="002B6309">
      <w:pPr>
        <w:rPr>
          <w:lang w:eastAsia="en-GB" w:bidi="ar-SA"/>
        </w:rPr>
      </w:pPr>
      <w:r w:rsidRPr="00373D94">
        <w:rPr>
          <w:lang w:eastAsia="en-GB" w:bidi="ar-SA"/>
        </w:rPr>
        <w:t xml:space="preserve">Any points raised at the meetings in relation to the transfer should be </w:t>
      </w:r>
      <w:r w:rsidR="0074636F" w:rsidRPr="00373D94">
        <w:rPr>
          <w:lang w:eastAsia="en-GB" w:bidi="ar-SA"/>
        </w:rPr>
        <w:t xml:space="preserve">noted and </w:t>
      </w:r>
      <w:r w:rsidRPr="00373D94">
        <w:rPr>
          <w:lang w:eastAsia="en-GB" w:bidi="ar-SA"/>
        </w:rPr>
        <w:t xml:space="preserve">considered and a response provided </w:t>
      </w:r>
      <w:r w:rsidR="0021717A" w:rsidRPr="00373D94">
        <w:rPr>
          <w:lang w:eastAsia="en-GB" w:bidi="ar-SA"/>
        </w:rPr>
        <w:t xml:space="preserve">in writing </w:t>
      </w:r>
      <w:r w:rsidR="0074636F" w:rsidRPr="00373D94">
        <w:rPr>
          <w:lang w:eastAsia="en-GB" w:bidi="ar-SA"/>
        </w:rPr>
        <w:t xml:space="preserve">after the meeting </w:t>
      </w:r>
      <w:r w:rsidRPr="00373D94">
        <w:rPr>
          <w:lang w:eastAsia="en-GB" w:bidi="ar-SA"/>
        </w:rPr>
        <w:t xml:space="preserve">within a reasonable timescale. </w:t>
      </w:r>
    </w:p>
    <w:p w14:paraId="05F0FBC9" w14:textId="77777777" w:rsidR="000E26C0" w:rsidRDefault="000E26C0" w:rsidP="002B6309">
      <w:pPr>
        <w:rPr>
          <w:lang w:eastAsia="en-GB" w:bidi="ar-SA"/>
        </w:rPr>
      </w:pPr>
    </w:p>
    <w:p w14:paraId="08F7FF40" w14:textId="77777777" w:rsidR="000E26C0" w:rsidRDefault="000E26C0" w:rsidP="002B6309">
      <w:pPr>
        <w:rPr>
          <w:lang w:eastAsia="en-GB" w:bidi="ar-SA"/>
        </w:rPr>
      </w:pPr>
      <w:r>
        <w:rPr>
          <w:lang w:eastAsia="en-GB" w:bidi="ar-SA"/>
        </w:rPr>
        <w:t>If an employee objects to the TUPE transfer they are effectively resigning from their contract of employment</w:t>
      </w:r>
      <w:r w:rsidR="00BC747B">
        <w:rPr>
          <w:lang w:eastAsia="en-GB" w:bidi="ar-SA"/>
        </w:rPr>
        <w:t xml:space="preserve"> and t</w:t>
      </w:r>
      <w:r>
        <w:rPr>
          <w:lang w:eastAsia="en-GB" w:bidi="ar-SA"/>
        </w:rPr>
        <w:t>he transferor and transferee should be informed.</w:t>
      </w:r>
    </w:p>
    <w:p w14:paraId="2D07FAB1" w14:textId="77777777" w:rsidR="00BC7673" w:rsidRDefault="00BC7673" w:rsidP="002B6309">
      <w:pPr>
        <w:rPr>
          <w:lang w:eastAsia="en-GB" w:bidi="ar-SA"/>
        </w:rPr>
      </w:pPr>
    </w:p>
    <w:p w14:paraId="262913DF" w14:textId="77777777" w:rsidR="00BC7673" w:rsidRDefault="00BC7673" w:rsidP="00001089">
      <w:pPr>
        <w:pStyle w:val="Heading2"/>
        <w:rPr>
          <w:lang w:eastAsia="en-GB" w:bidi="ar-SA"/>
        </w:rPr>
      </w:pPr>
      <w:r>
        <w:rPr>
          <w:lang w:eastAsia="en-GB" w:bidi="ar-SA"/>
        </w:rPr>
        <w:t>Implementation</w:t>
      </w:r>
    </w:p>
    <w:p w14:paraId="10EC1500" w14:textId="77777777" w:rsidR="00BC747B" w:rsidRDefault="005B7D25" w:rsidP="007825C6">
      <w:pPr>
        <w:pStyle w:val="Heading3"/>
        <w:rPr>
          <w:lang w:eastAsia="en-GB" w:bidi="ar-SA"/>
        </w:rPr>
      </w:pPr>
      <w:r>
        <w:rPr>
          <w:lang w:eastAsia="en-GB" w:bidi="ar-SA"/>
        </w:rPr>
        <w:t xml:space="preserve">Employees transferring out </w:t>
      </w:r>
    </w:p>
    <w:p w14:paraId="4BEE6350" w14:textId="1803A634" w:rsidR="005B7D25" w:rsidRDefault="005B7D25" w:rsidP="005B7D25">
      <w:pPr>
        <w:rPr>
          <w:lang w:eastAsia="en-GB" w:bidi="ar-SA"/>
        </w:rPr>
      </w:pPr>
      <w:bookmarkStart w:id="2" w:name="_Hlk15035386"/>
      <w:r>
        <w:rPr>
          <w:lang w:eastAsia="en-GB" w:bidi="ar-SA"/>
        </w:rPr>
        <w:t>After the consultation period has ended</w:t>
      </w:r>
      <w:r w:rsidR="00644CBE">
        <w:rPr>
          <w:lang w:eastAsia="en-GB" w:bidi="ar-SA"/>
        </w:rPr>
        <w:t xml:space="preserve"> </w:t>
      </w:r>
      <w:r w:rsidR="00644CBE" w:rsidRPr="00FA0B77">
        <w:rPr>
          <w:lang w:eastAsia="en-GB" w:bidi="ar-SA"/>
        </w:rPr>
        <w:t>but before the transfer date</w:t>
      </w:r>
      <w:bookmarkEnd w:id="2"/>
      <w:r>
        <w:rPr>
          <w:lang w:eastAsia="en-GB" w:bidi="ar-SA"/>
        </w:rPr>
        <w:t>, the headteacher should write to the affected employees confirming that they will TUPE transfer, the effective transfer date and confirming any measures the transferee (new employer) intends to make.</w:t>
      </w:r>
      <w:r w:rsidR="005F2A75">
        <w:rPr>
          <w:lang w:eastAsia="en-GB" w:bidi="ar-SA"/>
        </w:rPr>
        <w:t xml:space="preserve"> A template </w:t>
      </w:r>
      <w:r w:rsidR="005E4E60">
        <w:rPr>
          <w:lang w:eastAsia="en-GB" w:bidi="ar-SA"/>
        </w:rPr>
        <w:t>will be provided by HR.</w:t>
      </w:r>
    </w:p>
    <w:p w14:paraId="1364C464" w14:textId="77777777" w:rsidR="005B7D25" w:rsidRDefault="005B7D25" w:rsidP="005B7D25">
      <w:pPr>
        <w:rPr>
          <w:lang w:eastAsia="en-GB" w:bidi="ar-SA"/>
        </w:rPr>
      </w:pPr>
    </w:p>
    <w:p w14:paraId="2E07D27E" w14:textId="041B6CA5" w:rsidR="00346153" w:rsidRDefault="005B7D25" w:rsidP="00346153">
      <w:pPr>
        <w:rPr>
          <w:lang w:eastAsia="en-GB" w:bidi="ar-SA"/>
        </w:rPr>
      </w:pPr>
      <w:r>
        <w:rPr>
          <w:lang w:eastAsia="en-GB" w:bidi="ar-SA"/>
        </w:rPr>
        <w:t xml:space="preserve">The headteacher should also ensure that </w:t>
      </w:r>
      <w:r w:rsidR="00FF7227">
        <w:rPr>
          <w:lang w:eastAsia="en-GB" w:bidi="ar-SA"/>
        </w:rPr>
        <w:t xml:space="preserve">the </w:t>
      </w:r>
      <w:r w:rsidR="00C348A4">
        <w:rPr>
          <w:lang w:eastAsia="en-GB" w:bidi="ar-SA"/>
        </w:rPr>
        <w:t>Payroll and Employee Services and HR Advice and Suppo</w:t>
      </w:r>
      <w:r w:rsidR="008A77F2">
        <w:rPr>
          <w:lang w:eastAsia="en-GB" w:bidi="ar-SA"/>
        </w:rPr>
        <w:t>r</w:t>
      </w:r>
      <w:r w:rsidR="00C348A4">
        <w:rPr>
          <w:lang w:eastAsia="en-GB" w:bidi="ar-SA"/>
        </w:rPr>
        <w:t>t</w:t>
      </w:r>
      <w:r w:rsidR="00FF7227">
        <w:rPr>
          <w:lang w:eastAsia="en-GB" w:bidi="ar-SA"/>
        </w:rPr>
        <w:t xml:space="preserve"> have sent </w:t>
      </w:r>
      <w:r>
        <w:rPr>
          <w:lang w:eastAsia="en-GB" w:bidi="ar-SA"/>
        </w:rPr>
        <w:t>the employe</w:t>
      </w:r>
      <w:r w:rsidR="008A77F2">
        <w:rPr>
          <w:lang w:eastAsia="en-GB" w:bidi="ar-SA"/>
        </w:rPr>
        <w:t>e</w:t>
      </w:r>
      <w:r>
        <w:rPr>
          <w:lang w:eastAsia="en-GB" w:bidi="ar-SA"/>
        </w:rPr>
        <w:t xml:space="preserve"> liability information to the new employer </w:t>
      </w:r>
      <w:r w:rsidR="005F2A75">
        <w:rPr>
          <w:lang w:eastAsia="en-GB" w:bidi="ar-SA"/>
        </w:rPr>
        <w:t xml:space="preserve">by </w:t>
      </w:r>
      <w:r>
        <w:rPr>
          <w:lang w:eastAsia="en-GB" w:bidi="ar-SA"/>
        </w:rPr>
        <w:t xml:space="preserve">no later than 28 days prior to the transfer date. </w:t>
      </w:r>
      <w:r w:rsidR="00346153">
        <w:rPr>
          <w:lang w:eastAsia="en-GB" w:bidi="ar-SA"/>
        </w:rPr>
        <w:t>Details in paragraph 3.1.</w:t>
      </w:r>
    </w:p>
    <w:p w14:paraId="6BBD75F6" w14:textId="63B4E6D1" w:rsidR="00B90A69" w:rsidRDefault="00346153" w:rsidP="00346153">
      <w:pPr>
        <w:rPr>
          <w:lang w:eastAsia="en-GB" w:bidi="ar-SA"/>
        </w:rPr>
      </w:pPr>
      <w:r>
        <w:rPr>
          <w:lang w:eastAsia="en-GB" w:bidi="ar-SA"/>
        </w:rPr>
        <w:t xml:space="preserve"> </w:t>
      </w:r>
    </w:p>
    <w:p w14:paraId="5E6345B1" w14:textId="77777777" w:rsidR="007550D0" w:rsidRDefault="00B90A69" w:rsidP="00B90A69">
      <w:pPr>
        <w:rPr>
          <w:lang w:eastAsia="en-GB" w:bidi="ar-SA"/>
        </w:rPr>
      </w:pPr>
      <w:r w:rsidRPr="008A77F2">
        <w:rPr>
          <w:lang w:eastAsia="en-GB" w:bidi="ar-SA"/>
        </w:rPr>
        <w:t xml:space="preserve">Where applicable, the headteacher should arrange with the new employer to hand over employee files for all employees that are transferring. </w:t>
      </w:r>
      <w:r w:rsidR="007550D0" w:rsidRPr="008A77F2">
        <w:rPr>
          <w:lang w:eastAsia="en-GB" w:bidi="ar-SA"/>
        </w:rPr>
        <w:t>It is important that GDPR requirements are complied with</w:t>
      </w:r>
      <w:r w:rsidR="004511B4" w:rsidRPr="008A77F2">
        <w:rPr>
          <w:lang w:eastAsia="en-GB" w:bidi="ar-SA"/>
        </w:rPr>
        <w:t xml:space="preserve"> and it is recommended that the school’s data controller is involved. </w:t>
      </w:r>
      <w:r w:rsidR="00644CBE" w:rsidRPr="008A77F2">
        <w:rPr>
          <w:lang w:eastAsia="en-GB" w:bidi="ar-SA"/>
        </w:rPr>
        <w:t>Only r</w:t>
      </w:r>
      <w:r w:rsidR="007550D0" w:rsidRPr="008A77F2">
        <w:rPr>
          <w:lang w:eastAsia="en-GB" w:bidi="ar-SA"/>
        </w:rPr>
        <w:t xml:space="preserve">elevant and essential personal information is passed to the transferee and </w:t>
      </w:r>
      <w:r w:rsidR="004D4F45" w:rsidRPr="008A77F2">
        <w:rPr>
          <w:lang w:eastAsia="en-GB" w:bidi="ar-SA"/>
        </w:rPr>
        <w:t xml:space="preserve">this </w:t>
      </w:r>
      <w:r w:rsidR="007550D0" w:rsidRPr="008A77F2">
        <w:rPr>
          <w:lang w:eastAsia="en-GB" w:bidi="ar-SA"/>
        </w:rPr>
        <w:t>does not need the individual’s consent. Any unnecessary or irrelevant information must be securely destroyed.</w:t>
      </w:r>
    </w:p>
    <w:p w14:paraId="217583B9" w14:textId="77777777" w:rsidR="007550D0" w:rsidRDefault="007550D0" w:rsidP="00B90A69">
      <w:pPr>
        <w:rPr>
          <w:lang w:eastAsia="en-GB" w:bidi="ar-SA"/>
        </w:rPr>
      </w:pPr>
    </w:p>
    <w:p w14:paraId="344B23AE" w14:textId="77777777" w:rsidR="00B90A69" w:rsidRDefault="00B90A69" w:rsidP="00B90A69">
      <w:pPr>
        <w:rPr>
          <w:lang w:eastAsia="en-GB" w:bidi="ar-SA"/>
        </w:rPr>
      </w:pPr>
      <w:r w:rsidRPr="008A77F2">
        <w:rPr>
          <w:lang w:eastAsia="en-GB" w:bidi="ar-SA"/>
        </w:rPr>
        <w:t>The school’s policies and procedures also need to be provided</w:t>
      </w:r>
      <w:r w:rsidR="004D4F45" w:rsidRPr="008A77F2">
        <w:rPr>
          <w:lang w:eastAsia="en-GB" w:bidi="ar-SA"/>
        </w:rPr>
        <w:t xml:space="preserve"> to the transferee</w:t>
      </w:r>
      <w:r w:rsidRPr="008A77F2">
        <w:rPr>
          <w:lang w:eastAsia="en-GB" w:bidi="ar-SA"/>
        </w:rPr>
        <w:t>.</w:t>
      </w:r>
      <w:r w:rsidR="005F2A75" w:rsidRPr="008A77F2">
        <w:rPr>
          <w:lang w:eastAsia="en-GB" w:bidi="ar-SA"/>
        </w:rPr>
        <w:t xml:space="preserve"> </w:t>
      </w:r>
      <w:r w:rsidRPr="008A77F2">
        <w:rPr>
          <w:lang w:eastAsia="en-GB" w:bidi="ar-SA"/>
        </w:rPr>
        <w:t>HR Advice and Support will ensure that all relevant terms and conditions of service</w:t>
      </w:r>
      <w:r w:rsidR="005F2A75" w:rsidRPr="008A77F2">
        <w:rPr>
          <w:lang w:eastAsia="en-GB" w:bidi="ar-SA"/>
        </w:rPr>
        <w:t xml:space="preserve"> and </w:t>
      </w:r>
      <w:r w:rsidRPr="008A77F2">
        <w:rPr>
          <w:lang w:eastAsia="en-GB" w:bidi="ar-SA"/>
        </w:rPr>
        <w:t>collective agreements</w:t>
      </w:r>
      <w:r w:rsidR="005F2A75" w:rsidRPr="008A77F2">
        <w:rPr>
          <w:lang w:eastAsia="en-GB" w:bidi="ar-SA"/>
        </w:rPr>
        <w:t xml:space="preserve"> are provided to the new employer.</w:t>
      </w:r>
    </w:p>
    <w:p w14:paraId="41A48B06" w14:textId="77777777" w:rsidR="005F2A75" w:rsidRDefault="005F2A75" w:rsidP="00B90A69">
      <w:pPr>
        <w:rPr>
          <w:lang w:eastAsia="en-GB" w:bidi="ar-SA"/>
        </w:rPr>
      </w:pPr>
    </w:p>
    <w:p w14:paraId="60764396" w14:textId="385058D7" w:rsidR="005F2A75" w:rsidRDefault="005F2A75" w:rsidP="00B90A69">
      <w:pPr>
        <w:rPr>
          <w:lang w:eastAsia="en-GB" w:bidi="ar-SA"/>
        </w:rPr>
      </w:pPr>
      <w:r>
        <w:rPr>
          <w:lang w:eastAsia="en-GB" w:bidi="ar-SA"/>
        </w:rPr>
        <w:t xml:space="preserve">The headteacher should notify </w:t>
      </w:r>
      <w:r w:rsidR="00346153">
        <w:rPr>
          <w:lang w:eastAsia="en-GB" w:bidi="ar-SA"/>
        </w:rPr>
        <w:t>Payroll and Employee Services</w:t>
      </w:r>
      <w:r>
        <w:rPr>
          <w:lang w:eastAsia="en-GB" w:bidi="ar-SA"/>
        </w:rPr>
        <w:t xml:space="preserve"> of the transfer of the employees via SAIL.</w:t>
      </w:r>
    </w:p>
    <w:p w14:paraId="63AC1649" w14:textId="77777777" w:rsidR="008D2E6F" w:rsidRDefault="008D2E6F" w:rsidP="00B90A69">
      <w:pPr>
        <w:rPr>
          <w:lang w:eastAsia="en-GB" w:bidi="ar-SA"/>
        </w:rPr>
      </w:pPr>
    </w:p>
    <w:p w14:paraId="5BDFE9ED" w14:textId="77777777" w:rsidR="00BC747B" w:rsidRDefault="00494CDC" w:rsidP="00494CDC">
      <w:pPr>
        <w:pStyle w:val="Heading3"/>
        <w:rPr>
          <w:lang w:eastAsia="en-GB" w:bidi="ar-SA"/>
        </w:rPr>
      </w:pPr>
      <w:r>
        <w:rPr>
          <w:lang w:eastAsia="en-GB" w:bidi="ar-SA"/>
        </w:rPr>
        <w:t>Employees transferring in</w:t>
      </w:r>
    </w:p>
    <w:p w14:paraId="381E0928" w14:textId="77777777" w:rsidR="00494CDC" w:rsidRDefault="00BD1BF0" w:rsidP="00494CDC">
      <w:pPr>
        <w:rPr>
          <w:lang w:eastAsia="en-GB" w:bidi="ar-SA"/>
        </w:rPr>
      </w:pPr>
      <w:r>
        <w:rPr>
          <w:lang w:eastAsia="en-GB" w:bidi="ar-SA"/>
        </w:rPr>
        <w:t xml:space="preserve">After the consultation period has ended </w:t>
      </w:r>
      <w:r w:rsidRPr="00FA0B77">
        <w:rPr>
          <w:lang w:eastAsia="en-GB" w:bidi="ar-SA"/>
        </w:rPr>
        <w:t>but before the transfer date</w:t>
      </w:r>
      <w:r>
        <w:rPr>
          <w:lang w:eastAsia="en-GB" w:bidi="ar-SA"/>
        </w:rPr>
        <w:t>, t</w:t>
      </w:r>
      <w:r w:rsidR="00494CDC">
        <w:rPr>
          <w:lang w:eastAsia="en-GB" w:bidi="ar-SA"/>
        </w:rPr>
        <w:t xml:space="preserve">he transferor (current employer) </w:t>
      </w:r>
      <w:r w:rsidR="00644CBE">
        <w:rPr>
          <w:lang w:eastAsia="en-GB" w:bidi="ar-SA"/>
        </w:rPr>
        <w:t>should</w:t>
      </w:r>
      <w:r w:rsidR="00494CDC">
        <w:rPr>
          <w:lang w:eastAsia="en-GB" w:bidi="ar-SA"/>
        </w:rPr>
        <w:t xml:space="preserve"> write to the affected employees </w:t>
      </w:r>
      <w:r w:rsidR="00644CBE">
        <w:rPr>
          <w:lang w:eastAsia="en-GB" w:bidi="ar-SA"/>
        </w:rPr>
        <w:t xml:space="preserve">at the school </w:t>
      </w:r>
      <w:r w:rsidR="00494CDC">
        <w:rPr>
          <w:lang w:eastAsia="en-GB" w:bidi="ar-SA"/>
        </w:rPr>
        <w:t>to confirm that they will TUPE transfer, the effective transfer date and confirming any measures the school intends to make.</w:t>
      </w:r>
    </w:p>
    <w:p w14:paraId="7352181F" w14:textId="77777777" w:rsidR="00494CDC" w:rsidRDefault="00494CDC" w:rsidP="00494CDC">
      <w:pPr>
        <w:rPr>
          <w:lang w:eastAsia="en-GB" w:bidi="ar-SA"/>
        </w:rPr>
      </w:pPr>
    </w:p>
    <w:p w14:paraId="2F74603D" w14:textId="02A77F5A" w:rsidR="00494CDC" w:rsidRDefault="001C1E8B" w:rsidP="00494CDC">
      <w:pPr>
        <w:rPr>
          <w:lang w:eastAsia="en-GB" w:bidi="ar-SA"/>
        </w:rPr>
      </w:pPr>
      <w:r>
        <w:rPr>
          <w:lang w:eastAsia="en-GB" w:bidi="ar-SA"/>
        </w:rPr>
        <w:t>The school will provide details of the transferring employees to Payroll and Employee Services</w:t>
      </w:r>
      <w:r w:rsidR="002A6409" w:rsidRPr="00373D94">
        <w:rPr>
          <w:lang w:eastAsia="en-GB" w:bidi="ar-SA"/>
        </w:rPr>
        <w:t xml:space="preserve"> </w:t>
      </w:r>
      <w:r>
        <w:rPr>
          <w:lang w:eastAsia="en-GB" w:bidi="ar-SA"/>
        </w:rPr>
        <w:t xml:space="preserve">who </w:t>
      </w:r>
      <w:r w:rsidR="002A6409" w:rsidRPr="00373D94">
        <w:rPr>
          <w:lang w:eastAsia="en-GB" w:bidi="ar-SA"/>
        </w:rPr>
        <w:t>will ensure that appropriate employment checks are in place for the transferring employees (e.g. DBS checks/right to work in the UK/visas</w:t>
      </w:r>
      <w:r w:rsidR="00BD1BF0" w:rsidRPr="00373D94">
        <w:rPr>
          <w:lang w:eastAsia="en-GB" w:bidi="ar-SA"/>
        </w:rPr>
        <w:t>)</w:t>
      </w:r>
      <w:r w:rsidR="002A6409" w:rsidRPr="00373D94">
        <w:rPr>
          <w:lang w:eastAsia="en-GB" w:bidi="ar-SA"/>
        </w:rPr>
        <w:t xml:space="preserve"> where appropriate.</w:t>
      </w:r>
      <w:r w:rsidR="00644CBE">
        <w:rPr>
          <w:lang w:eastAsia="en-GB" w:bidi="ar-SA"/>
        </w:rPr>
        <w:t xml:space="preserve"> </w:t>
      </w:r>
    </w:p>
    <w:p w14:paraId="1E9CCB1F" w14:textId="77777777" w:rsidR="002A6409" w:rsidRDefault="002A6409" w:rsidP="00494CDC">
      <w:pPr>
        <w:rPr>
          <w:lang w:eastAsia="en-GB" w:bidi="ar-SA"/>
        </w:rPr>
      </w:pPr>
    </w:p>
    <w:p w14:paraId="43949E6D" w14:textId="56A908E6" w:rsidR="00BD1BF0" w:rsidRDefault="001C1E8B" w:rsidP="00BD1BF0">
      <w:pPr>
        <w:rPr>
          <w:lang w:eastAsia="en-GB" w:bidi="ar-SA"/>
        </w:rPr>
      </w:pPr>
      <w:r w:rsidRPr="008A77F2">
        <w:rPr>
          <w:lang w:eastAsia="en-GB" w:bidi="ar-SA"/>
        </w:rPr>
        <w:t>Payroll and Employee Services</w:t>
      </w:r>
      <w:r w:rsidR="00BD1BF0" w:rsidRPr="008A77F2">
        <w:rPr>
          <w:lang w:eastAsia="en-GB" w:bidi="ar-SA"/>
        </w:rPr>
        <w:t xml:space="preserve"> are responsible for adding the transferred employees to the school’s establishment and the </w:t>
      </w:r>
      <w:proofErr w:type="spellStart"/>
      <w:r w:rsidR="00C53067" w:rsidRPr="008A77F2">
        <w:rPr>
          <w:lang w:eastAsia="en-GB" w:bidi="ar-SA"/>
        </w:rPr>
        <w:t>Resourcelink</w:t>
      </w:r>
      <w:proofErr w:type="spellEnd"/>
      <w:r w:rsidR="00BD1BF0" w:rsidRPr="008A77F2">
        <w:rPr>
          <w:lang w:eastAsia="en-GB" w:bidi="ar-SA"/>
        </w:rPr>
        <w:t xml:space="preserve"> system. </w:t>
      </w:r>
    </w:p>
    <w:p w14:paraId="2DC73EF1" w14:textId="77777777" w:rsidR="001C1E8B" w:rsidRDefault="001C1E8B" w:rsidP="00BD1BF0">
      <w:pPr>
        <w:rPr>
          <w:lang w:eastAsia="en-GB" w:bidi="ar-SA"/>
        </w:rPr>
      </w:pPr>
    </w:p>
    <w:p w14:paraId="378E9E81" w14:textId="53EF5708" w:rsidR="002A6409" w:rsidRPr="00494CDC" w:rsidRDefault="002A6409" w:rsidP="00494CDC">
      <w:pPr>
        <w:rPr>
          <w:lang w:eastAsia="en-GB" w:bidi="ar-SA"/>
        </w:rPr>
      </w:pPr>
      <w:r w:rsidRPr="008A77F2">
        <w:rPr>
          <w:lang w:eastAsia="en-GB" w:bidi="ar-SA"/>
        </w:rPr>
        <w:t>The headteacher must request the personal files</w:t>
      </w:r>
      <w:r w:rsidR="001C1E8B" w:rsidRPr="008A77F2">
        <w:rPr>
          <w:lang w:eastAsia="en-GB" w:bidi="ar-SA"/>
        </w:rPr>
        <w:t xml:space="preserve">, </w:t>
      </w:r>
      <w:r w:rsidRPr="008A77F2">
        <w:rPr>
          <w:lang w:eastAsia="en-GB" w:bidi="ar-SA"/>
        </w:rPr>
        <w:t>documents</w:t>
      </w:r>
      <w:r w:rsidR="001C1E8B" w:rsidRPr="008A77F2">
        <w:rPr>
          <w:lang w:eastAsia="en-GB" w:bidi="ar-SA"/>
        </w:rPr>
        <w:t>,</w:t>
      </w:r>
      <w:r w:rsidRPr="008A77F2">
        <w:rPr>
          <w:lang w:eastAsia="en-GB" w:bidi="ar-SA"/>
        </w:rPr>
        <w:t xml:space="preserve"> </w:t>
      </w:r>
      <w:r w:rsidR="001C1E8B" w:rsidRPr="008A77F2">
        <w:rPr>
          <w:lang w:eastAsia="en-GB" w:bidi="ar-SA"/>
        </w:rPr>
        <w:t xml:space="preserve">including contractual policies and procedures, </w:t>
      </w:r>
      <w:r w:rsidRPr="008A77F2">
        <w:rPr>
          <w:lang w:eastAsia="en-GB" w:bidi="ar-SA"/>
        </w:rPr>
        <w:t>f</w:t>
      </w:r>
      <w:r w:rsidR="00FF7227" w:rsidRPr="008A77F2">
        <w:rPr>
          <w:lang w:eastAsia="en-GB" w:bidi="ar-SA"/>
        </w:rPr>
        <w:t>rom</w:t>
      </w:r>
      <w:r w:rsidRPr="008A77F2">
        <w:rPr>
          <w:lang w:eastAsia="en-GB" w:bidi="ar-SA"/>
        </w:rPr>
        <w:t xml:space="preserve"> the transferor. These must be reviewed and any </w:t>
      </w:r>
      <w:r w:rsidR="00644CBE" w:rsidRPr="008A77F2">
        <w:rPr>
          <w:lang w:eastAsia="en-GB" w:bidi="ar-SA"/>
        </w:rPr>
        <w:t xml:space="preserve">information that is out of date, unnecessary or irrelevant must be securely destroyed. The files should be stored </w:t>
      </w:r>
      <w:r w:rsidR="00FF7227" w:rsidRPr="008A77F2">
        <w:rPr>
          <w:lang w:eastAsia="en-GB" w:bidi="ar-SA"/>
        </w:rPr>
        <w:t xml:space="preserve">securely and appropriately. </w:t>
      </w:r>
      <w:r w:rsidR="00644CBE" w:rsidRPr="008A77F2">
        <w:rPr>
          <w:lang w:eastAsia="en-GB" w:bidi="ar-SA"/>
        </w:rPr>
        <w:t>It is recommended that the schools data controller is involved.</w:t>
      </w:r>
    </w:p>
    <w:p w14:paraId="75639A18" w14:textId="77777777" w:rsidR="0074636F" w:rsidRDefault="0074636F" w:rsidP="002B6309">
      <w:pPr>
        <w:rPr>
          <w:lang w:eastAsia="en-GB" w:bidi="ar-SA"/>
        </w:rPr>
      </w:pPr>
    </w:p>
    <w:p w14:paraId="091B85C1" w14:textId="3C85D240" w:rsidR="00C53067" w:rsidRDefault="00934E32" w:rsidP="008027A0">
      <w:pPr>
        <w:rPr>
          <w:lang w:eastAsia="en-GB" w:bidi="ar-SA"/>
        </w:rPr>
      </w:pPr>
      <w:r>
        <w:rPr>
          <w:lang w:eastAsia="en-GB" w:bidi="ar-SA"/>
        </w:rPr>
        <w:lastRenderedPageBreak/>
        <w:t>It is recommended the</w:t>
      </w:r>
      <w:r w:rsidR="009972FA">
        <w:rPr>
          <w:lang w:eastAsia="en-GB" w:bidi="ar-SA"/>
        </w:rPr>
        <w:t xml:space="preserve"> headteacher should arrange for </w:t>
      </w:r>
      <w:r w:rsidR="00C53067">
        <w:rPr>
          <w:lang w:eastAsia="en-GB" w:bidi="ar-SA"/>
        </w:rPr>
        <w:t>an induction programme to take place for the transferring employees</w:t>
      </w:r>
      <w:r>
        <w:rPr>
          <w:lang w:eastAsia="en-GB" w:bidi="ar-SA"/>
        </w:rPr>
        <w:t xml:space="preserve"> and appraisals where necessary.</w:t>
      </w:r>
      <w:r w:rsidR="00C53067">
        <w:rPr>
          <w:lang w:eastAsia="en-GB" w:bidi="ar-SA"/>
        </w:rPr>
        <w:t xml:space="preserve"> </w:t>
      </w:r>
      <w:r w:rsidR="008027A0" w:rsidRPr="008A77F2">
        <w:rPr>
          <w:lang w:eastAsia="en-GB" w:bidi="ar-SA"/>
        </w:rPr>
        <w:t>Headteachers should also identify any initial training needs for the new employees and organise training where required.</w:t>
      </w:r>
    </w:p>
    <w:p w14:paraId="7FE6FA7A" w14:textId="77777777" w:rsidR="008027A0" w:rsidRDefault="008027A0" w:rsidP="008027A0">
      <w:pPr>
        <w:rPr>
          <w:lang w:eastAsia="en-GB" w:bidi="ar-SA"/>
        </w:rPr>
      </w:pPr>
    </w:p>
    <w:p w14:paraId="5B241174" w14:textId="77777777" w:rsidR="008027A0" w:rsidRDefault="008027A0" w:rsidP="008027A0">
      <w:pPr>
        <w:rPr>
          <w:lang w:eastAsia="en-GB" w:bidi="ar-SA"/>
        </w:rPr>
      </w:pPr>
    </w:p>
    <w:p w14:paraId="11BE8827" w14:textId="77777777" w:rsidR="00C53067" w:rsidRDefault="00C53067" w:rsidP="002B6309">
      <w:pPr>
        <w:rPr>
          <w:lang w:eastAsia="en-GB" w:bidi="ar-SA"/>
        </w:rPr>
      </w:pPr>
    </w:p>
    <w:p w14:paraId="44875B77" w14:textId="77777777" w:rsidR="00C53067" w:rsidRDefault="00C53067" w:rsidP="002B6309">
      <w:pPr>
        <w:rPr>
          <w:lang w:eastAsia="en-GB" w:bidi="ar-SA"/>
        </w:rPr>
      </w:pPr>
    </w:p>
    <w:p w14:paraId="17CCB4DB" w14:textId="77777777" w:rsidR="00644CBE" w:rsidRDefault="00644CBE" w:rsidP="002B6309">
      <w:pPr>
        <w:rPr>
          <w:lang w:eastAsia="en-GB" w:bidi="ar-SA"/>
        </w:rPr>
      </w:pPr>
    </w:p>
    <w:p w14:paraId="2342FA1F" w14:textId="77777777" w:rsidR="00217E3A" w:rsidRDefault="00217E3A" w:rsidP="002B6309">
      <w:pPr>
        <w:rPr>
          <w:lang w:eastAsia="en-GB" w:bidi="ar-SA"/>
        </w:rPr>
      </w:pPr>
    </w:p>
    <w:p w14:paraId="5B823274" w14:textId="77777777" w:rsidR="00217E3A" w:rsidRPr="00217E3A" w:rsidRDefault="00217E3A" w:rsidP="00217E3A">
      <w:pPr>
        <w:rPr>
          <w:lang w:eastAsia="en-GB" w:bidi="ar-SA"/>
        </w:rPr>
      </w:pPr>
    </w:p>
    <w:p w14:paraId="2CD67903" w14:textId="77777777" w:rsidR="00FE3CB4" w:rsidRDefault="00FE3CB4" w:rsidP="002B6309">
      <w:pPr>
        <w:rPr>
          <w:lang w:eastAsia="en-GB" w:bidi="ar-SA"/>
        </w:rPr>
      </w:pPr>
    </w:p>
    <w:p w14:paraId="3AED3F02" w14:textId="77777777" w:rsidR="002B6309" w:rsidRDefault="00FE3CB4" w:rsidP="002B6309">
      <w:pPr>
        <w:rPr>
          <w:lang w:eastAsia="en-GB" w:bidi="ar-SA"/>
        </w:rPr>
      </w:pPr>
      <w:r>
        <w:rPr>
          <w:lang w:eastAsia="en-GB" w:bidi="ar-SA"/>
        </w:rPr>
        <w:t xml:space="preserve"> </w:t>
      </w:r>
    </w:p>
    <w:p w14:paraId="3A96FE2D" w14:textId="77777777" w:rsidR="00425C37" w:rsidRPr="00425C37" w:rsidRDefault="00425C37" w:rsidP="00425C37">
      <w:pPr>
        <w:rPr>
          <w:lang w:eastAsia="en-GB" w:bidi="ar-SA"/>
        </w:rPr>
      </w:pPr>
    </w:p>
    <w:p w14:paraId="4DA1E501" w14:textId="77777777" w:rsidR="007E2917" w:rsidRPr="00511028" w:rsidRDefault="007E2917" w:rsidP="00511028">
      <w:pPr>
        <w:rPr>
          <w:lang w:eastAsia="en-GB" w:bidi="ar-SA"/>
        </w:rPr>
      </w:pPr>
    </w:p>
    <w:p w14:paraId="56DB3D57" w14:textId="77777777" w:rsidR="000455F7" w:rsidRDefault="000455F7" w:rsidP="000455F7">
      <w:pPr>
        <w:rPr>
          <w:lang w:eastAsia="en-GB" w:bidi="ar-SA"/>
        </w:rPr>
      </w:pPr>
    </w:p>
    <w:p w14:paraId="33CD149D" w14:textId="77777777" w:rsidR="00511028" w:rsidRPr="00511028" w:rsidRDefault="00511028" w:rsidP="00511028">
      <w:pPr>
        <w:rPr>
          <w:lang w:eastAsia="en-GB" w:bidi="ar-SA"/>
        </w:rPr>
        <w:sectPr w:rsidR="00511028" w:rsidRPr="00511028" w:rsidSect="00486870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1906" w:h="16838"/>
          <w:pgMar w:top="720" w:right="720" w:bottom="720" w:left="720" w:header="567" w:footer="567" w:gutter="0"/>
          <w:cols w:space="708"/>
          <w:formProt w:val="0"/>
          <w:docGrid w:linePitch="360"/>
        </w:sectPr>
      </w:pPr>
    </w:p>
    <w:p w14:paraId="5D9C94FD" w14:textId="77777777" w:rsidR="000E17A1" w:rsidRPr="00486870" w:rsidRDefault="00992861" w:rsidP="000E17A1">
      <w:pPr>
        <w:pStyle w:val="Pa3"/>
        <w:spacing w:after="40" w:line="360" w:lineRule="auto"/>
        <w:rPr>
          <w:color w:val="632423" w:themeColor="accent2" w:themeShade="80"/>
          <w:sz w:val="28"/>
          <w:szCs w:val="28"/>
        </w:rPr>
      </w:pPr>
      <w:r w:rsidRPr="00486870">
        <w:rPr>
          <w:noProof/>
          <w:color w:val="632423" w:themeColor="accent2" w:themeShade="80"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0201963" wp14:editId="3A7AA064">
                <wp:simplePos x="0" y="0"/>
                <wp:positionH relativeFrom="page">
                  <wp:align>right</wp:align>
                </wp:positionH>
                <wp:positionV relativeFrom="page">
                  <wp:align>top</wp:align>
                </wp:positionV>
                <wp:extent cx="7474169" cy="10607149"/>
                <wp:effectExtent l="38100" t="38100" r="50800" b="60960"/>
                <wp:wrapNone/>
                <wp:docPr id="278" name="Rectangle 2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74169" cy="10607149"/>
                        </a:xfrm>
                        <a:prstGeom prst="rect">
                          <a:avLst/>
                        </a:prstGeom>
                        <a:noFill/>
                        <a:ln w="101600" cap="flat" cmpd="sng" algn="ctr">
                          <a:gradFill>
                            <a:gsLst>
                              <a:gs pos="0">
                                <a:schemeClr val="accent2">
                                  <a:lumMod val="50000"/>
                                </a:schemeClr>
                              </a:gs>
                              <a:gs pos="100000">
                                <a:schemeClr val="accent2">
                                  <a:lumMod val="40000"/>
                                  <a:lumOff val="60000"/>
                                </a:schemeClr>
                              </a:gs>
                            </a:gsLst>
                            <a:lin ang="5400000" scaled="1"/>
                          </a:gra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2E5982B3" id="Rectangle 278" o:spid="_x0000_s1026" style="position:absolute;margin-left:537.3pt;margin-top:0;width:588.5pt;height:835.2pt;z-index:2516986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top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" filled="f" strokeweight="8pt">
                <w10:wrap anchorx="page" anchory="page"/>
              </v:rect>
            </w:pict>
          </mc:Fallback>
        </mc:AlternateContent>
      </w:r>
      <w:r w:rsidR="000E17A1" w:rsidRPr="00486870">
        <w:rPr>
          <w:color w:val="632423" w:themeColor="accent2" w:themeShade="80"/>
          <w:sz w:val="28"/>
          <w:szCs w:val="28"/>
        </w:rPr>
        <w:t xml:space="preserve">For advice regarding the application of this policy please contact: </w:t>
      </w:r>
    </w:p>
    <w:p w14:paraId="5B0C9276" w14:textId="77777777" w:rsidR="000E17A1" w:rsidRPr="00992861" w:rsidRDefault="000E17A1" w:rsidP="000B6DB0">
      <w:pPr>
        <w:pStyle w:val="Pa2"/>
        <w:spacing w:after="80" w:line="240" w:lineRule="auto"/>
      </w:pPr>
      <w:r w:rsidRPr="00992861">
        <w:t>HR Advice and Support</w:t>
      </w:r>
      <w:r w:rsidRPr="00992861">
        <w:tab/>
      </w:r>
      <w:r w:rsidRPr="00992861">
        <w:tab/>
      </w:r>
      <w:r w:rsidRPr="00992861">
        <w:tab/>
      </w:r>
      <w:r w:rsidR="00992861" w:rsidRPr="00992861">
        <w:tab/>
      </w:r>
      <w:hyperlink r:id="rId19" w:history="1">
        <w:r w:rsidR="00486870" w:rsidRPr="004F59C4">
          <w:rPr>
            <w:rStyle w:val="Hyperlink"/>
          </w:rPr>
          <w:t>hradvice@durham.gov.uk</w:t>
        </w:r>
      </w:hyperlink>
      <w:r w:rsidRPr="00992861">
        <w:t xml:space="preserve">  </w:t>
      </w:r>
    </w:p>
    <w:p w14:paraId="0C5BAFEF" w14:textId="77777777" w:rsidR="000E17A1" w:rsidRPr="000B6DB0" w:rsidRDefault="000E17A1" w:rsidP="000E17A1">
      <w:pPr>
        <w:rPr>
          <w:szCs w:val="32"/>
          <w:lang w:bidi="ar-SA"/>
        </w:rPr>
      </w:pPr>
    </w:p>
    <w:p w14:paraId="347908FD" w14:textId="4F2D2D0D" w:rsidR="000E17A1" w:rsidRPr="00486870" w:rsidRDefault="000E17A1" w:rsidP="000E17A1">
      <w:pPr>
        <w:pStyle w:val="Pa3"/>
        <w:spacing w:after="40" w:line="360" w:lineRule="auto"/>
        <w:rPr>
          <w:color w:val="632423" w:themeColor="accent2" w:themeShade="80"/>
          <w:sz w:val="28"/>
          <w:szCs w:val="28"/>
        </w:rPr>
      </w:pPr>
      <w:r w:rsidRPr="00486870">
        <w:rPr>
          <w:color w:val="632423" w:themeColor="accent2" w:themeShade="80"/>
          <w:sz w:val="28"/>
          <w:szCs w:val="28"/>
        </w:rPr>
        <w:t xml:space="preserve">Relevant forms or letters should be forwarded to </w:t>
      </w:r>
      <w:r w:rsidR="00D7760E">
        <w:rPr>
          <w:color w:val="632423" w:themeColor="accent2" w:themeShade="80"/>
          <w:sz w:val="28"/>
          <w:szCs w:val="28"/>
        </w:rPr>
        <w:t>Payroll and Employee Services</w:t>
      </w:r>
      <w:r w:rsidRPr="00486870">
        <w:rPr>
          <w:color w:val="632423" w:themeColor="accent2" w:themeShade="80"/>
          <w:sz w:val="28"/>
          <w:szCs w:val="28"/>
        </w:rPr>
        <w:t xml:space="preserve">: </w:t>
      </w:r>
    </w:p>
    <w:p w14:paraId="225AAF59" w14:textId="3D1C9361" w:rsidR="000E17A1" w:rsidRPr="00992861" w:rsidRDefault="0004200C" w:rsidP="000E17A1">
      <w:pPr>
        <w:pStyle w:val="Pa1"/>
        <w:spacing w:after="120" w:line="240" w:lineRule="auto"/>
      </w:pPr>
      <w:r>
        <w:t>Schools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hyperlink r:id="rId20" w:history="1">
        <w:r w:rsidR="00D7760E" w:rsidRPr="0052273A">
          <w:rPr>
            <w:rStyle w:val="Hyperlink"/>
          </w:rPr>
          <w:t>PESSchools@durham.gov.uk</w:t>
        </w:r>
      </w:hyperlink>
    </w:p>
    <w:p w14:paraId="0C05B038" w14:textId="77777777" w:rsidR="000E17A1" w:rsidRPr="00486870" w:rsidRDefault="000E17A1" w:rsidP="000E17A1">
      <w:pPr>
        <w:pStyle w:val="Pa3"/>
        <w:spacing w:after="40" w:line="360" w:lineRule="auto"/>
        <w:rPr>
          <w:color w:val="632423" w:themeColor="accent2" w:themeShade="80"/>
          <w:sz w:val="28"/>
          <w:szCs w:val="28"/>
        </w:rPr>
      </w:pPr>
      <w:r w:rsidRPr="00486870">
        <w:rPr>
          <w:color w:val="632423" w:themeColor="accent2" w:themeShade="80"/>
          <w:sz w:val="28"/>
          <w:szCs w:val="28"/>
        </w:rPr>
        <w:t>Further support can be accessed by contacting:</w:t>
      </w:r>
    </w:p>
    <w:p w14:paraId="51460160" w14:textId="77777777" w:rsidR="000E17A1" w:rsidRPr="00992861" w:rsidRDefault="000E17A1" w:rsidP="000B6DB0">
      <w:pPr>
        <w:pStyle w:val="Pa2"/>
        <w:spacing w:after="80" w:line="240" w:lineRule="auto"/>
      </w:pPr>
      <w:r w:rsidRPr="00992861">
        <w:t>Occupational Health</w:t>
      </w:r>
      <w:r w:rsidRPr="00992861">
        <w:tab/>
      </w:r>
      <w:r w:rsidRPr="00992861">
        <w:tab/>
      </w:r>
      <w:r w:rsidRPr="00992861">
        <w:tab/>
      </w:r>
      <w:r w:rsidRPr="00992861">
        <w:tab/>
      </w:r>
      <w:hyperlink r:id="rId21" w:history="1">
        <w:r w:rsidRPr="00992861">
          <w:rPr>
            <w:rStyle w:val="Hyperlink"/>
          </w:rPr>
          <w:t>occhealthadmin@durham.gov.uk</w:t>
        </w:r>
      </w:hyperlink>
    </w:p>
    <w:p w14:paraId="05AFA016" w14:textId="77777777" w:rsidR="000E17A1" w:rsidRPr="00992861" w:rsidRDefault="000E17A1" w:rsidP="00486870">
      <w:pPr>
        <w:pStyle w:val="Pa2"/>
        <w:spacing w:after="120" w:line="240" w:lineRule="auto"/>
        <w:ind w:left="4320" w:firstLine="720"/>
      </w:pPr>
      <w:r w:rsidRPr="00992861">
        <w:t xml:space="preserve">03000 268 999 </w:t>
      </w:r>
    </w:p>
    <w:p w14:paraId="3D9D2829" w14:textId="77777777" w:rsidR="000E17A1" w:rsidRPr="000B6DB0" w:rsidRDefault="000E17A1" w:rsidP="000E17A1">
      <w:pPr>
        <w:rPr>
          <w:sz w:val="12"/>
          <w:szCs w:val="20"/>
          <w:lang w:bidi="ar-SA"/>
        </w:rPr>
      </w:pPr>
    </w:p>
    <w:p w14:paraId="511A8143" w14:textId="77777777" w:rsidR="000E17A1" w:rsidRPr="00992861" w:rsidRDefault="000E17A1" w:rsidP="000E17A1">
      <w:pPr>
        <w:pStyle w:val="Pa2"/>
        <w:spacing w:after="120" w:line="240" w:lineRule="auto"/>
      </w:pPr>
      <w:r w:rsidRPr="00992861">
        <w:t xml:space="preserve">Health and Safety </w:t>
      </w:r>
      <w:r w:rsidRPr="00992861">
        <w:tab/>
      </w:r>
      <w:r w:rsidRPr="00992861">
        <w:tab/>
      </w:r>
      <w:r w:rsidRPr="00992861">
        <w:tab/>
      </w:r>
      <w:r w:rsidRPr="00992861">
        <w:tab/>
      </w:r>
      <w:r w:rsidR="00992861" w:rsidRPr="00992861">
        <w:tab/>
      </w:r>
      <w:hyperlink r:id="rId22" w:history="1">
        <w:r w:rsidRPr="00992861">
          <w:rPr>
            <w:rStyle w:val="Hyperlink"/>
          </w:rPr>
          <w:t>hsteam@durham.gov.uk</w:t>
        </w:r>
      </w:hyperlink>
      <w:r w:rsidRPr="00992861">
        <w:t xml:space="preserve"> </w:t>
      </w:r>
    </w:p>
    <w:p w14:paraId="00DDD56A" w14:textId="77777777" w:rsidR="000E17A1" w:rsidRPr="000B6DB0" w:rsidRDefault="000E17A1" w:rsidP="000E17A1">
      <w:pPr>
        <w:rPr>
          <w:sz w:val="12"/>
          <w:szCs w:val="20"/>
          <w:lang w:bidi="ar-SA"/>
        </w:rPr>
      </w:pPr>
    </w:p>
    <w:p w14:paraId="5950F077" w14:textId="77777777" w:rsidR="000E17A1" w:rsidRPr="00992861" w:rsidRDefault="000E17A1" w:rsidP="000B6DB0">
      <w:pPr>
        <w:spacing w:after="80"/>
        <w:rPr>
          <w:rFonts w:cs="Arial"/>
          <w:szCs w:val="24"/>
          <w:lang w:bidi="ar-SA"/>
        </w:rPr>
      </w:pPr>
      <w:r w:rsidRPr="00992861">
        <w:rPr>
          <w:rFonts w:cs="Arial"/>
          <w:szCs w:val="24"/>
          <w:lang w:bidi="ar-SA"/>
        </w:rPr>
        <w:t>Employee Assistance Programme</w:t>
      </w:r>
      <w:r w:rsidRPr="00992861">
        <w:rPr>
          <w:rFonts w:cs="Arial"/>
          <w:szCs w:val="24"/>
          <w:lang w:bidi="ar-SA"/>
        </w:rPr>
        <w:tab/>
      </w:r>
      <w:r w:rsidRPr="00992861">
        <w:rPr>
          <w:rFonts w:cs="Arial"/>
          <w:szCs w:val="24"/>
          <w:lang w:bidi="ar-SA"/>
        </w:rPr>
        <w:tab/>
      </w:r>
      <w:hyperlink r:id="rId23" w:history="1">
        <w:r w:rsidRPr="00992861">
          <w:rPr>
            <w:rStyle w:val="Hyperlink"/>
            <w:rFonts w:cs="Arial"/>
            <w:szCs w:val="24"/>
            <w:lang w:bidi="ar-SA"/>
          </w:rPr>
          <w:t>www.healthassuredeap.com</w:t>
        </w:r>
      </w:hyperlink>
    </w:p>
    <w:p w14:paraId="1125DE79" w14:textId="77777777" w:rsidR="000E17A1" w:rsidRDefault="000E17A1" w:rsidP="00486870">
      <w:pPr>
        <w:spacing w:after="80"/>
        <w:rPr>
          <w:rFonts w:cs="Arial"/>
          <w:szCs w:val="24"/>
          <w:lang w:bidi="ar-SA"/>
        </w:rPr>
      </w:pPr>
      <w:r w:rsidRPr="00992861">
        <w:rPr>
          <w:rFonts w:cs="Arial"/>
          <w:szCs w:val="24"/>
          <w:lang w:bidi="ar-SA"/>
        </w:rPr>
        <w:tab/>
      </w:r>
      <w:r w:rsidRPr="00992861">
        <w:rPr>
          <w:rFonts w:cs="Arial"/>
          <w:szCs w:val="24"/>
          <w:lang w:bidi="ar-SA"/>
        </w:rPr>
        <w:tab/>
      </w:r>
      <w:r w:rsidRPr="00992861">
        <w:rPr>
          <w:rFonts w:cs="Arial"/>
          <w:szCs w:val="24"/>
          <w:lang w:bidi="ar-SA"/>
        </w:rPr>
        <w:tab/>
      </w:r>
      <w:r w:rsidRPr="00992861">
        <w:rPr>
          <w:rFonts w:cs="Arial"/>
          <w:szCs w:val="24"/>
          <w:lang w:bidi="ar-SA"/>
        </w:rPr>
        <w:tab/>
      </w:r>
      <w:r w:rsidRPr="00992861">
        <w:rPr>
          <w:rFonts w:cs="Arial"/>
          <w:szCs w:val="24"/>
          <w:lang w:bidi="ar-SA"/>
        </w:rPr>
        <w:tab/>
      </w:r>
      <w:r w:rsidR="00486870">
        <w:rPr>
          <w:rFonts w:cs="Arial"/>
          <w:szCs w:val="24"/>
          <w:lang w:bidi="ar-SA"/>
        </w:rPr>
        <w:tab/>
      </w:r>
      <w:r w:rsidR="00486870">
        <w:rPr>
          <w:rFonts w:cs="Arial"/>
          <w:szCs w:val="24"/>
          <w:lang w:bidi="ar-SA"/>
        </w:rPr>
        <w:tab/>
      </w:r>
      <w:r w:rsidRPr="00992861">
        <w:rPr>
          <w:rFonts w:cs="Arial"/>
          <w:szCs w:val="24"/>
          <w:lang w:bidi="ar-SA"/>
        </w:rPr>
        <w:t xml:space="preserve">Username: durham  </w:t>
      </w:r>
      <w:r w:rsidR="00992861" w:rsidRPr="00992861">
        <w:rPr>
          <w:rFonts w:cs="Arial"/>
          <w:szCs w:val="24"/>
          <w:lang w:bidi="ar-SA"/>
        </w:rPr>
        <w:t xml:space="preserve">   </w:t>
      </w:r>
      <w:r w:rsidRPr="00992861">
        <w:rPr>
          <w:rFonts w:cs="Arial"/>
          <w:szCs w:val="24"/>
          <w:lang w:bidi="ar-SA"/>
        </w:rPr>
        <w:t>Password: council</w:t>
      </w:r>
    </w:p>
    <w:p w14:paraId="74D493B5" w14:textId="77777777" w:rsidR="00992861" w:rsidRPr="00486870" w:rsidRDefault="00486870" w:rsidP="00ED7005">
      <w:pPr>
        <w:rPr>
          <w:rFonts w:cs="Arial"/>
          <w:szCs w:val="24"/>
          <w:lang w:bidi="ar-SA"/>
        </w:rPr>
      </w:pPr>
      <w:r>
        <w:rPr>
          <w:rFonts w:cs="Arial"/>
          <w:szCs w:val="24"/>
          <w:lang w:bidi="ar-SA"/>
        </w:rPr>
        <w:tab/>
      </w:r>
      <w:r>
        <w:rPr>
          <w:rFonts w:cs="Arial"/>
          <w:szCs w:val="24"/>
          <w:lang w:bidi="ar-SA"/>
        </w:rPr>
        <w:tab/>
      </w:r>
      <w:r>
        <w:rPr>
          <w:rFonts w:cs="Arial"/>
          <w:szCs w:val="24"/>
          <w:lang w:bidi="ar-SA"/>
        </w:rPr>
        <w:tab/>
      </w:r>
      <w:r>
        <w:rPr>
          <w:rFonts w:cs="Arial"/>
          <w:szCs w:val="24"/>
          <w:lang w:bidi="ar-SA"/>
        </w:rPr>
        <w:tab/>
      </w:r>
      <w:r>
        <w:rPr>
          <w:rFonts w:cs="Arial"/>
          <w:szCs w:val="24"/>
          <w:lang w:bidi="ar-SA"/>
        </w:rPr>
        <w:tab/>
      </w:r>
      <w:r>
        <w:rPr>
          <w:rFonts w:cs="Arial"/>
          <w:szCs w:val="24"/>
          <w:lang w:bidi="ar-SA"/>
        </w:rPr>
        <w:tab/>
      </w:r>
      <w:r>
        <w:rPr>
          <w:rFonts w:cs="Arial"/>
          <w:szCs w:val="24"/>
          <w:lang w:bidi="ar-SA"/>
        </w:rPr>
        <w:tab/>
      </w:r>
      <w:r w:rsidRPr="00992861">
        <w:rPr>
          <w:rFonts w:cs="Arial"/>
          <w:szCs w:val="24"/>
          <w:lang w:bidi="ar-SA"/>
        </w:rPr>
        <w:t>0800 716 017</w:t>
      </w:r>
    </w:p>
    <w:p w14:paraId="1A337919" w14:textId="77777777" w:rsidR="00992861" w:rsidRDefault="00992861" w:rsidP="00ED7005">
      <w:pPr>
        <w:rPr>
          <w:noProof/>
          <w:sz w:val="44"/>
          <w:szCs w:val="44"/>
          <w:lang w:eastAsia="en-GB"/>
        </w:rPr>
      </w:pPr>
    </w:p>
    <w:p w14:paraId="43B96EC0" w14:textId="77777777" w:rsidR="00992861" w:rsidRDefault="00992861" w:rsidP="00ED7005">
      <w:pPr>
        <w:rPr>
          <w:noProof/>
          <w:sz w:val="44"/>
          <w:szCs w:val="44"/>
          <w:lang w:eastAsia="en-GB"/>
        </w:rPr>
      </w:pPr>
    </w:p>
    <w:p w14:paraId="3BDA9E35" w14:textId="77777777" w:rsidR="00992861" w:rsidRDefault="00992861" w:rsidP="00ED7005">
      <w:pPr>
        <w:rPr>
          <w:noProof/>
          <w:sz w:val="44"/>
          <w:szCs w:val="44"/>
          <w:lang w:eastAsia="en-GB"/>
        </w:rPr>
      </w:pPr>
    </w:p>
    <w:p w14:paraId="4CF424A8" w14:textId="77777777" w:rsidR="00992861" w:rsidRDefault="00992861" w:rsidP="00ED7005">
      <w:pPr>
        <w:rPr>
          <w:noProof/>
          <w:sz w:val="44"/>
          <w:szCs w:val="44"/>
          <w:lang w:eastAsia="en-GB"/>
        </w:rPr>
      </w:pPr>
    </w:p>
    <w:p w14:paraId="4D2F0CDC" w14:textId="77777777" w:rsidR="00992861" w:rsidRDefault="00992861" w:rsidP="00ED7005">
      <w:pPr>
        <w:rPr>
          <w:noProof/>
          <w:sz w:val="44"/>
          <w:szCs w:val="44"/>
          <w:lang w:eastAsia="en-GB"/>
        </w:rPr>
      </w:pPr>
    </w:p>
    <w:p w14:paraId="210D26DF" w14:textId="77777777" w:rsidR="00992861" w:rsidRDefault="00992861" w:rsidP="00ED7005">
      <w:pPr>
        <w:rPr>
          <w:noProof/>
          <w:sz w:val="44"/>
          <w:szCs w:val="44"/>
          <w:lang w:eastAsia="en-GB"/>
        </w:rPr>
      </w:pPr>
    </w:p>
    <w:p w14:paraId="1098EF6A" w14:textId="77777777" w:rsidR="00992861" w:rsidRDefault="00992861" w:rsidP="00ED7005">
      <w:pPr>
        <w:rPr>
          <w:noProof/>
          <w:sz w:val="44"/>
          <w:szCs w:val="44"/>
          <w:lang w:eastAsia="en-GB"/>
        </w:rPr>
      </w:pPr>
    </w:p>
    <w:p w14:paraId="5625640A" w14:textId="77777777" w:rsidR="00992861" w:rsidRDefault="00992861" w:rsidP="00ED7005">
      <w:pPr>
        <w:rPr>
          <w:noProof/>
          <w:sz w:val="44"/>
          <w:szCs w:val="44"/>
          <w:lang w:eastAsia="en-GB"/>
        </w:rPr>
      </w:pPr>
    </w:p>
    <w:p w14:paraId="737BA5C0" w14:textId="77777777" w:rsidR="00992861" w:rsidRDefault="00992861" w:rsidP="00992861">
      <w:pPr>
        <w:autoSpaceDE w:val="0"/>
        <w:autoSpaceDN w:val="0"/>
        <w:adjustRightInd w:val="0"/>
        <w:rPr>
          <w:rFonts w:ascii="ArialMT-Light" w:hAnsi="ArialMT-Light" w:cs="ArialMT-Light"/>
          <w:color w:val="58595B"/>
          <w:sz w:val="28"/>
          <w:szCs w:val="18"/>
        </w:rPr>
      </w:pPr>
    </w:p>
    <w:p w14:paraId="6992B9F2" w14:textId="77777777" w:rsidR="00486870" w:rsidRDefault="00486870" w:rsidP="00992861">
      <w:pPr>
        <w:autoSpaceDE w:val="0"/>
        <w:autoSpaceDN w:val="0"/>
        <w:adjustRightInd w:val="0"/>
        <w:rPr>
          <w:rFonts w:ascii="ArialMT-Light" w:hAnsi="ArialMT-Light" w:cs="ArialMT-Light"/>
          <w:color w:val="58595B"/>
          <w:sz w:val="28"/>
          <w:szCs w:val="18"/>
        </w:rPr>
      </w:pPr>
    </w:p>
    <w:p w14:paraId="3CF47B37" w14:textId="77777777" w:rsidR="00486870" w:rsidRDefault="00486870" w:rsidP="00992861">
      <w:pPr>
        <w:autoSpaceDE w:val="0"/>
        <w:autoSpaceDN w:val="0"/>
        <w:adjustRightInd w:val="0"/>
        <w:rPr>
          <w:rFonts w:ascii="ArialMT-Light" w:hAnsi="ArialMT-Light" w:cs="ArialMT-Light"/>
          <w:color w:val="58595B"/>
          <w:sz w:val="28"/>
          <w:szCs w:val="18"/>
        </w:rPr>
      </w:pPr>
    </w:p>
    <w:p w14:paraId="0A27C1F4" w14:textId="77777777" w:rsidR="00486870" w:rsidRDefault="00486870" w:rsidP="00992861">
      <w:pPr>
        <w:autoSpaceDE w:val="0"/>
        <w:autoSpaceDN w:val="0"/>
        <w:adjustRightInd w:val="0"/>
        <w:rPr>
          <w:rFonts w:ascii="ArialMT-Light" w:hAnsi="ArialMT-Light" w:cs="ArialMT-Light"/>
          <w:color w:val="58595B"/>
          <w:sz w:val="28"/>
          <w:szCs w:val="18"/>
        </w:rPr>
      </w:pPr>
    </w:p>
    <w:p w14:paraId="3248605E" w14:textId="77777777" w:rsidR="004D2F6A" w:rsidRDefault="004D2F6A" w:rsidP="00992861">
      <w:pPr>
        <w:autoSpaceDE w:val="0"/>
        <w:autoSpaceDN w:val="0"/>
        <w:adjustRightInd w:val="0"/>
        <w:rPr>
          <w:rFonts w:ascii="ArialMT-Light" w:hAnsi="ArialMT-Light" w:cs="ArialMT-Light"/>
          <w:color w:val="58595B"/>
          <w:sz w:val="28"/>
          <w:szCs w:val="18"/>
        </w:rPr>
      </w:pPr>
    </w:p>
    <w:p w14:paraId="1DA5CEDE" w14:textId="77777777" w:rsidR="001673D2" w:rsidRDefault="001673D2" w:rsidP="00992861">
      <w:pPr>
        <w:autoSpaceDE w:val="0"/>
        <w:autoSpaceDN w:val="0"/>
        <w:adjustRightInd w:val="0"/>
        <w:rPr>
          <w:rFonts w:ascii="ArialMT-Light" w:hAnsi="ArialMT-Light" w:cs="ArialMT-Light"/>
          <w:color w:val="58595B"/>
          <w:sz w:val="28"/>
          <w:szCs w:val="18"/>
        </w:rPr>
      </w:pPr>
    </w:p>
    <w:p w14:paraId="7CFDD085" w14:textId="77777777" w:rsidR="004D2F6A" w:rsidRPr="00C13E48" w:rsidRDefault="004D2F6A" w:rsidP="004D2F6A">
      <w:pPr>
        <w:autoSpaceDE w:val="0"/>
        <w:autoSpaceDN w:val="0"/>
        <w:adjustRightInd w:val="0"/>
        <w:rPr>
          <w:rFonts w:ascii="ArialMT-Light" w:hAnsi="ArialMT-Light" w:cs="ArialMT-Light"/>
          <w:color w:val="58595B"/>
          <w:sz w:val="18"/>
          <w:szCs w:val="18"/>
        </w:rPr>
      </w:pPr>
      <w:r w:rsidRPr="00C13E48">
        <w:rPr>
          <w:rFonts w:ascii="ArialMT-Light" w:hAnsi="ArialMT-Light" w:cs="ArialMT-Light"/>
          <w:color w:val="58595B"/>
          <w:sz w:val="18"/>
          <w:szCs w:val="18"/>
        </w:rPr>
        <w:t>The school complies with all re</w:t>
      </w:r>
      <w:r>
        <w:rPr>
          <w:rFonts w:ascii="ArialMT-Light" w:hAnsi="ArialMT-Light" w:cs="ArialMT-Light"/>
          <w:color w:val="58595B"/>
          <w:sz w:val="18"/>
          <w:szCs w:val="18"/>
        </w:rPr>
        <w:t xml:space="preserve">levant statutory obligations. </w:t>
      </w:r>
      <w:r w:rsidRPr="00C13E48">
        <w:rPr>
          <w:rFonts w:ascii="ArialMT-Light" w:hAnsi="ArialMT-Light" w:cs="ArialMT-Light"/>
          <w:color w:val="58595B"/>
          <w:sz w:val="18"/>
          <w:szCs w:val="18"/>
        </w:rPr>
        <w:t>The school privacy notice provides more specific information on data collected and how it is handled, a copy of which can be accessed from the school.</w:t>
      </w:r>
      <w:r>
        <w:rPr>
          <w:rFonts w:ascii="ArialMT-Light" w:hAnsi="ArialMT-Light" w:cs="ArialMT-Light"/>
          <w:color w:val="58595B"/>
          <w:sz w:val="18"/>
          <w:szCs w:val="18"/>
        </w:rPr>
        <w:t xml:space="preserve"> </w:t>
      </w:r>
      <w:r w:rsidRPr="00C13E48">
        <w:rPr>
          <w:rFonts w:ascii="ArialMT-Light" w:hAnsi="ArialMT-Light" w:cs="ArialMT-Light"/>
          <w:color w:val="58595B"/>
          <w:sz w:val="18"/>
          <w:szCs w:val="18"/>
        </w:rPr>
        <w:t>For more information please contact the school directly.</w:t>
      </w:r>
    </w:p>
    <w:p w14:paraId="30356F29" w14:textId="77777777" w:rsidR="004D2F6A" w:rsidRPr="00C13E48" w:rsidRDefault="004D2F6A" w:rsidP="004D2F6A">
      <w:pPr>
        <w:autoSpaceDE w:val="0"/>
        <w:autoSpaceDN w:val="0"/>
        <w:adjustRightInd w:val="0"/>
        <w:rPr>
          <w:rFonts w:ascii="ArialMT-Light" w:hAnsi="ArialMT-Light" w:cs="ArialMT-Light"/>
          <w:color w:val="58595B"/>
          <w:sz w:val="18"/>
          <w:szCs w:val="18"/>
        </w:rPr>
      </w:pPr>
    </w:p>
    <w:p w14:paraId="0CF640A7" w14:textId="77777777" w:rsidR="00ED7005" w:rsidRPr="00992861" w:rsidRDefault="001673D2" w:rsidP="004D2F6A">
      <w:pPr>
        <w:autoSpaceDE w:val="0"/>
        <w:autoSpaceDN w:val="0"/>
        <w:adjustRightInd w:val="0"/>
        <w:rPr>
          <w:rFonts w:ascii="ArialMT-Light" w:hAnsi="ArialMT-Light" w:cs="ArialMT-Light"/>
          <w:color w:val="58595B"/>
          <w:sz w:val="18"/>
          <w:szCs w:val="18"/>
        </w:rPr>
      </w:pPr>
      <w:r w:rsidRPr="00486870">
        <w:rPr>
          <w:noProof/>
          <w:highlight w:val="yellow"/>
          <w:lang w:eastAsia="en-GB" w:bidi="ar-SA"/>
        </w:rPr>
        <mc:AlternateContent>
          <mc:Choice Requires="wpg">
            <w:drawing>
              <wp:anchor distT="0" distB="0" distL="114300" distR="114300" simplePos="0" relativeHeight="251722240" behindDoc="0" locked="0" layoutInCell="1" allowOverlap="1" wp14:anchorId="0D67E35D" wp14:editId="658A21C0">
                <wp:simplePos x="0" y="0"/>
                <wp:positionH relativeFrom="margin">
                  <wp:align>right</wp:align>
                </wp:positionH>
                <wp:positionV relativeFrom="paragraph">
                  <wp:posOffset>619001</wp:posOffset>
                </wp:positionV>
                <wp:extent cx="6646127" cy="527050"/>
                <wp:effectExtent l="0" t="0" r="2540" b="6350"/>
                <wp:wrapNone/>
                <wp:docPr id="271" name="Group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6127" cy="527050"/>
                          <a:chOff x="0" y="0"/>
                          <a:chExt cx="4547235" cy="527050"/>
                        </a:xfrm>
                      </wpg:grpSpPr>
                      <wps:wsp>
                        <wps:cNvPr id="70" name="Rectangle 70"/>
                        <wps:cNvSpPr/>
                        <wps:spPr>
                          <a:xfrm>
                            <a:off x="2197100" y="0"/>
                            <a:ext cx="1156335" cy="2476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398D5B7" w14:textId="77777777" w:rsidR="000B6DB0" w:rsidRPr="00F05ECB" w:rsidRDefault="000B6DB0" w:rsidP="000B6DB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Last review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2197100" y="273050"/>
                            <a:ext cx="1156335" cy="2476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2625460" w14:textId="77777777" w:rsidR="000B6DB0" w:rsidRPr="00F05ECB" w:rsidRDefault="005A04FB" w:rsidP="000B6DB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August 2019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Rectangle 72"/>
                        <wps:cNvSpPr/>
                        <wps:spPr>
                          <a:xfrm>
                            <a:off x="3397250" y="0"/>
                            <a:ext cx="1149985" cy="2476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1D225839" w14:textId="77777777" w:rsidR="000B6DB0" w:rsidRPr="00F05ECB" w:rsidRDefault="000B6DB0" w:rsidP="000B6DB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Next review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Rectangle 73"/>
                        <wps:cNvSpPr/>
                        <wps:spPr>
                          <a:xfrm>
                            <a:off x="3397250" y="273050"/>
                            <a:ext cx="1149985" cy="2476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00A5C46F" w14:textId="77777777" w:rsidR="000B6DB0" w:rsidRPr="00F05ECB" w:rsidRDefault="005A04FB" w:rsidP="000B6DB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August 2020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0" y="0"/>
                            <a:ext cx="1297172" cy="2476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6E8E97AE" w14:textId="77777777" w:rsidR="000B6DB0" w:rsidRPr="00046148" w:rsidRDefault="000B6DB0" w:rsidP="000B6DB0">
                              <w:pP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046148"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Author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Rectangle 75"/>
                        <wps:cNvSpPr/>
                        <wps:spPr>
                          <a:xfrm>
                            <a:off x="0" y="273050"/>
                            <a:ext cx="1296670" cy="25400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DFE1360" w14:textId="77777777" w:rsidR="000B6DB0" w:rsidRPr="00046148" w:rsidRDefault="0004200C" w:rsidP="000B6DB0">
                              <w:pP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Senior HR Officer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Rectangle 76"/>
                        <wps:cNvSpPr/>
                        <wps:spPr>
                          <a:xfrm>
                            <a:off x="1339850" y="0"/>
                            <a:ext cx="820420" cy="2476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34215D07" w14:textId="77777777" w:rsidR="000B6DB0" w:rsidRPr="00046148" w:rsidRDefault="000B6DB0" w:rsidP="000B6DB0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18"/>
                                  <w:szCs w:val="18"/>
                                </w:rPr>
                                <w:t>Version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7" name="Rectangle 77"/>
                        <wps:cNvSpPr/>
                        <wps:spPr>
                          <a:xfrm>
                            <a:off x="1339850" y="273050"/>
                            <a:ext cx="820420" cy="2476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chemeClr val="accent2">
                                  <a:lumMod val="60000"/>
                                  <a:lumOff val="40000"/>
                                </a:schemeClr>
                              </a:gs>
                              <a:gs pos="100000">
                                <a:schemeClr val="accent2">
                                  <a:lumMod val="20000"/>
                                  <a:lumOff val="80000"/>
                                </a:schemeClr>
                              </a:gs>
                            </a:gsLst>
                            <a:lin ang="0" scaled="1"/>
                            <a:tileRect/>
                          </a:gra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14:paraId="719FFA59" w14:textId="77777777" w:rsidR="000B6DB0" w:rsidRPr="00046148" w:rsidRDefault="005A04FB" w:rsidP="000B6DB0">
                              <w:pPr>
                                <w:jc w:val="center"/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color w:val="000000" w:themeColor="text1"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67E35D" id="Group 271" o:spid="_x0000_s1027" style="position:absolute;margin-left:472.1pt;margin-top:48.75pt;width:523.3pt;height:41.5pt;z-index:251722240;mso-position-horizontal:right;mso-position-horizontal-relative:margin;mso-width-relative:margin" coordsize="45472,5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">
                <v:rect id="Rectangle 70" o:spid="_x0000_s1028" style="position:absolute;left:21971;width:11563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" fillcolor="#d99594 [1941]" stroked="f" strokeweight="2pt">
                  <v:fill color2="#f2dbdb [661]" rotate="t" angle="90" focus="100%" type="gradient"/>
                  <v:textbox>
                    <w:txbxContent>
                      <w:p w14:paraId="0398D5B7" w14:textId="77777777" w:rsidR="000B6DB0" w:rsidRPr="00F05ECB" w:rsidRDefault="000B6DB0" w:rsidP="000B6DB0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Last review</w:t>
                        </w:r>
                      </w:p>
                    </w:txbxContent>
                  </v:textbox>
                </v:rect>
                <v:rect id="Rectangle 71" o:spid="_x0000_s1029" style="position:absolute;left:21971;top:2730;width:11563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" fillcolor="#d99594 [1941]" stroked="f" strokeweight="2pt">
                  <v:fill color2="#f2dbdb [661]" rotate="t" angle="90" focus="100%" type="gradient"/>
                  <v:textbox>
                    <w:txbxContent>
                      <w:p w14:paraId="02625460" w14:textId="77777777" w:rsidR="000B6DB0" w:rsidRPr="00F05ECB" w:rsidRDefault="005A04FB" w:rsidP="000B6DB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August 2019</w:t>
                        </w:r>
                      </w:p>
                    </w:txbxContent>
                  </v:textbox>
                </v:rect>
                <v:rect id="Rectangle 72" o:spid="_x0000_s1030" style="position:absolute;left:33972;width:11500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" fillcolor="#d99594 [1941]" stroked="f" strokeweight="2pt">
                  <v:fill color2="#f2dbdb [661]" rotate="t" angle="90" focus="100%" type="gradient"/>
                  <v:textbox>
                    <w:txbxContent>
                      <w:p w14:paraId="1D225839" w14:textId="77777777" w:rsidR="000B6DB0" w:rsidRPr="00F05ECB" w:rsidRDefault="000B6DB0" w:rsidP="000B6DB0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Next review</w:t>
                        </w:r>
                      </w:p>
                    </w:txbxContent>
                  </v:textbox>
                </v:rect>
                <v:rect id="Rectangle 73" o:spid="_x0000_s1031" style="position:absolute;left:33972;top:2730;width:11500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" fillcolor="#d99594 [1941]" stroked="f" strokeweight="2pt">
                  <v:fill color2="#f2dbdb [661]" rotate="t" angle="90" focus="100%" type="gradient"/>
                  <v:textbox>
                    <w:txbxContent>
                      <w:p w14:paraId="00A5C46F" w14:textId="77777777" w:rsidR="000B6DB0" w:rsidRPr="00F05ECB" w:rsidRDefault="005A04FB" w:rsidP="000B6DB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August 2020</w:t>
                        </w:r>
                      </w:p>
                    </w:txbxContent>
                  </v:textbox>
                </v:rect>
                <v:rect id="Rectangle 74" o:spid="_x0000_s1032" style="position:absolute;width:12971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" fillcolor="#d99594 [1941]" stroked="f" strokeweight="2pt">
                  <v:fill color2="#f2dbdb [661]" rotate="t" angle="90" focus="100%" type="gradient"/>
                  <v:textbox>
                    <w:txbxContent>
                      <w:p w14:paraId="6E8E97AE" w14:textId="77777777" w:rsidR="000B6DB0" w:rsidRPr="00046148" w:rsidRDefault="000B6DB0" w:rsidP="000B6DB0">
                        <w:pP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046148"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Author</w:t>
                        </w:r>
                      </w:p>
                    </w:txbxContent>
                  </v:textbox>
                </v:rect>
                <v:rect id="Rectangle 75" o:spid="_x0000_s1033" style="position:absolute;top:2730;width:12966;height:254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" fillcolor="#d99594 [1941]" stroked="f" strokeweight="2pt">
                  <v:fill color2="#f2dbdb [661]" rotate="t" angle="90" focus="100%" type="gradient"/>
                  <v:textbox>
                    <w:txbxContent>
                      <w:p w14:paraId="7DFE1360" w14:textId="77777777" w:rsidR="000B6DB0" w:rsidRPr="00046148" w:rsidRDefault="0004200C" w:rsidP="000B6DB0">
                        <w:pPr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Senior HR Officer</w:t>
                        </w:r>
                      </w:p>
                    </w:txbxContent>
                  </v:textbox>
                </v:rect>
                <v:rect id="Rectangle 76" o:spid="_x0000_s1034" style="position:absolute;left:13398;width:8204;height:24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" fillcolor="#d99594 [1941]" stroked="f" strokeweight="2pt">
                  <v:fill color2="#f2dbdb [661]" rotate="t" angle="90" focus="100%" type="gradient"/>
                  <v:textbox>
                    <w:txbxContent>
                      <w:p w14:paraId="34215D07" w14:textId="77777777" w:rsidR="000B6DB0" w:rsidRPr="00046148" w:rsidRDefault="000B6DB0" w:rsidP="000B6DB0">
                        <w:pPr>
                          <w:jc w:val="center"/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18"/>
                            <w:szCs w:val="18"/>
                          </w:rPr>
                          <w:t>Version</w:t>
                        </w:r>
                      </w:p>
                    </w:txbxContent>
                  </v:textbox>
                </v:rect>
                <v:rect id="Rectangle 77" o:spid="_x0000_s1035" style="position:absolute;left:13398;top:2730;width:8204;height:24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" fillcolor="#d99594 [1941]" stroked="f" strokeweight="2pt">
                  <v:fill color2="#f2dbdb [661]" rotate="t" angle="90" focus="100%" type="gradient"/>
                  <v:textbox>
                    <w:txbxContent>
                      <w:p w14:paraId="719FFA59" w14:textId="77777777" w:rsidR="000B6DB0" w:rsidRPr="00046148" w:rsidRDefault="005A04FB" w:rsidP="000B6DB0">
                        <w:pPr>
                          <w:jc w:val="center"/>
                          <w:rPr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color w:val="000000" w:themeColor="text1"/>
                            <w:sz w:val="18"/>
                            <w:szCs w:val="18"/>
                          </w:rPr>
                          <w:t>2</w:t>
                        </w:r>
                      </w:p>
                    </w:txbxContent>
                  </v:textbox>
                </v:rect>
                <w10:wrap anchorx="margin"/>
              </v:group>
            </w:pict>
          </mc:Fallback>
        </mc:AlternateContent>
      </w:r>
      <w:r w:rsidR="004D2F6A" w:rsidRPr="00C13E48">
        <w:rPr>
          <w:rFonts w:ascii="ArialMT-Light" w:hAnsi="ArialMT-Light" w:cs="ArialMT-Light"/>
          <w:color w:val="58595B"/>
          <w:sz w:val="18"/>
          <w:szCs w:val="18"/>
        </w:rPr>
        <w:t>If you have any concerns about how your data is handled, please contact either the school Data Protection Officer (details available from the school office), or the Information Commissioner’s Office.</w:t>
      </w:r>
    </w:p>
    <w:sectPr w:rsidR="00ED7005" w:rsidRPr="00992861" w:rsidSect="00ED7005">
      <w:headerReference w:type="even" r:id="rId24"/>
      <w:headerReference w:type="default" r:id="rId25"/>
      <w:footerReference w:type="default" r:id="rId26"/>
      <w:headerReference w:type="first" r:id="rId27"/>
      <w:pgSz w:w="11906" w:h="16838"/>
      <w:pgMar w:top="720" w:right="720" w:bottom="720" w:left="720" w:header="56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02E5DC" w14:textId="77777777" w:rsidR="00CF6A25" w:rsidRDefault="00CF6A25" w:rsidP="0077606C">
      <w:r>
        <w:separator/>
      </w:r>
    </w:p>
  </w:endnote>
  <w:endnote w:type="continuationSeparator" w:id="0">
    <w:p w14:paraId="019B8874" w14:textId="77777777" w:rsidR="00CF6A25" w:rsidRDefault="00CF6A25" w:rsidP="0077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MT-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381A1" w14:textId="77777777" w:rsidR="00001089" w:rsidRDefault="0000108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4B7CFA" w14:textId="77777777" w:rsidR="008B7323" w:rsidRDefault="008B7323" w:rsidP="008B7323">
    <w:pPr>
      <w:pStyle w:val="Footer"/>
      <w:jc w:val="right"/>
    </w:pPr>
  </w:p>
  <w:p w14:paraId="10067C95" w14:textId="3F95B633" w:rsidR="00ED7005" w:rsidRPr="00B45875" w:rsidRDefault="00385A20" w:rsidP="008B732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E0E8D">
      <w:rPr>
        <w:noProof/>
      </w:rPr>
      <w:t>6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41033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1456DE" w14:textId="77777777" w:rsidR="00385A20" w:rsidRDefault="00385A20" w:rsidP="008B7323">
        <w:pPr>
          <w:pStyle w:val="Footer"/>
          <w:jc w:val="right"/>
        </w:pPr>
        <w:r w:rsidRPr="00561D93">
          <w:rPr>
            <w:noProof/>
            <w:lang w:eastAsia="en-GB" w:bidi="ar-SA"/>
          </w:rPr>
          <w:drawing>
            <wp:anchor distT="0" distB="0" distL="114300" distR="114300" simplePos="0" relativeHeight="251659264" behindDoc="0" locked="0" layoutInCell="1" allowOverlap="1" wp14:anchorId="065B4E07" wp14:editId="77CD2560">
              <wp:simplePos x="0" y="0"/>
              <wp:positionH relativeFrom="margin">
                <wp:posOffset>-88900</wp:posOffset>
              </wp:positionH>
              <wp:positionV relativeFrom="paragraph">
                <wp:posOffset>-15240</wp:posOffset>
              </wp:positionV>
              <wp:extent cx="2019600" cy="543600"/>
              <wp:effectExtent l="0" t="0" r="0" b="8890"/>
              <wp:wrapNone/>
              <wp:docPr id="26" name="Picture 26" descr="E:\9 - Policies &amp; Guidance\- Policy Project\Templates\HR 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E:\9 - Policies &amp; Guidance\- Policy Project\Templates\HR 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019600" cy="543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73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00B3A5" w14:textId="77777777" w:rsidR="00581A90" w:rsidRPr="00581A90" w:rsidRDefault="00581A90" w:rsidP="00581A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9761B6" w14:textId="77777777" w:rsidR="00CF6A25" w:rsidRDefault="00CF6A25" w:rsidP="0077606C">
      <w:r>
        <w:separator/>
      </w:r>
    </w:p>
  </w:footnote>
  <w:footnote w:type="continuationSeparator" w:id="0">
    <w:p w14:paraId="6C07FDFC" w14:textId="77777777" w:rsidR="00CF6A25" w:rsidRDefault="00CF6A25" w:rsidP="007760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DB9D68" w14:textId="6D56A731" w:rsidR="00001089" w:rsidRDefault="0000108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1B3A84" w14:textId="305901BB" w:rsidR="00001089" w:rsidRDefault="0000108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7F47FE" w14:textId="17F6ACFA" w:rsidR="00001089" w:rsidRDefault="00001089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10268D" w14:textId="73075D42" w:rsidR="00001089" w:rsidRDefault="00001089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10896" w14:textId="7C9192F3" w:rsidR="00001089" w:rsidRDefault="00001089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9A09EC" w14:textId="61A43162" w:rsidR="00001089" w:rsidRDefault="0000108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3EBA"/>
    <w:multiLevelType w:val="hybridMultilevel"/>
    <w:tmpl w:val="6C56A1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E0576"/>
    <w:multiLevelType w:val="hybridMultilevel"/>
    <w:tmpl w:val="3CF28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651C8"/>
    <w:multiLevelType w:val="hybridMultilevel"/>
    <w:tmpl w:val="7526A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248AC"/>
    <w:multiLevelType w:val="hybridMultilevel"/>
    <w:tmpl w:val="8B466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4606F"/>
    <w:multiLevelType w:val="multilevel"/>
    <w:tmpl w:val="CE68E350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"/>
      <w:lvlJc w:val="left"/>
      <w:pPr>
        <w:ind w:left="1002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BF408A0"/>
    <w:multiLevelType w:val="hybridMultilevel"/>
    <w:tmpl w:val="3964FF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8D0194"/>
    <w:multiLevelType w:val="hybridMultilevel"/>
    <w:tmpl w:val="8368D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10327"/>
    <w:multiLevelType w:val="multilevel"/>
    <w:tmpl w:val="26446C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275D4DB8"/>
    <w:multiLevelType w:val="hybridMultilevel"/>
    <w:tmpl w:val="9CA260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EA0918"/>
    <w:multiLevelType w:val="hybridMultilevel"/>
    <w:tmpl w:val="11540F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F13E3E"/>
    <w:multiLevelType w:val="hybridMultilevel"/>
    <w:tmpl w:val="6DB4FB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64CA1"/>
    <w:multiLevelType w:val="hybridMultilevel"/>
    <w:tmpl w:val="204EB6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630609"/>
    <w:multiLevelType w:val="hybridMultilevel"/>
    <w:tmpl w:val="7D34DA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B66FF"/>
    <w:multiLevelType w:val="hybridMultilevel"/>
    <w:tmpl w:val="0FD6D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155364"/>
    <w:multiLevelType w:val="hybridMultilevel"/>
    <w:tmpl w:val="B9EAC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C07982"/>
    <w:multiLevelType w:val="hybridMultilevel"/>
    <w:tmpl w:val="A7A27A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4725E3"/>
    <w:multiLevelType w:val="hybridMultilevel"/>
    <w:tmpl w:val="4DCE5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04624"/>
    <w:multiLevelType w:val="hybridMultilevel"/>
    <w:tmpl w:val="2AC63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C43D0"/>
    <w:multiLevelType w:val="hybridMultilevel"/>
    <w:tmpl w:val="A6E2D2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A42976"/>
    <w:multiLevelType w:val="hybridMultilevel"/>
    <w:tmpl w:val="8AF8C1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F4092"/>
    <w:multiLevelType w:val="hybridMultilevel"/>
    <w:tmpl w:val="F364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583D0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2F81869"/>
    <w:multiLevelType w:val="hybridMultilevel"/>
    <w:tmpl w:val="B648750E"/>
    <w:lvl w:ilvl="0" w:tplc="347C032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639A4F9C"/>
    <w:multiLevelType w:val="hybridMultilevel"/>
    <w:tmpl w:val="BC7453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F34927"/>
    <w:multiLevelType w:val="hybridMultilevel"/>
    <w:tmpl w:val="66867C9A"/>
    <w:lvl w:ilvl="0" w:tplc="6D84E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B006D0"/>
    <w:multiLevelType w:val="hybridMultilevel"/>
    <w:tmpl w:val="3A08AD48"/>
    <w:lvl w:ilvl="0" w:tplc="6D84E4C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1FD810BC">
      <w:numFmt w:val="bullet"/>
      <w:lvlText w:val="•"/>
      <w:lvlJc w:val="left"/>
      <w:pPr>
        <w:ind w:left="1800" w:hanging="720"/>
      </w:pPr>
      <w:rPr>
        <w:rFonts w:ascii="Arial" w:eastAsia="Times New Roman" w:hAnsi="Aria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B155C1C"/>
    <w:multiLevelType w:val="hybridMultilevel"/>
    <w:tmpl w:val="D8C8E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631219"/>
    <w:multiLevelType w:val="hybridMultilevel"/>
    <w:tmpl w:val="10469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65150"/>
    <w:multiLevelType w:val="hybridMultilevel"/>
    <w:tmpl w:val="5896C61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DAB4CE3"/>
    <w:multiLevelType w:val="hybridMultilevel"/>
    <w:tmpl w:val="A6C672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7"/>
  </w:num>
  <w:num w:numId="3">
    <w:abstractNumId w:val="4"/>
  </w:num>
  <w:num w:numId="4">
    <w:abstractNumId w:val="14"/>
  </w:num>
  <w:num w:numId="5">
    <w:abstractNumId w:val="0"/>
  </w:num>
  <w:num w:numId="6">
    <w:abstractNumId w:val="23"/>
  </w:num>
  <w:num w:numId="7">
    <w:abstractNumId w:val="27"/>
  </w:num>
  <w:num w:numId="8">
    <w:abstractNumId w:val="6"/>
  </w:num>
  <w:num w:numId="9">
    <w:abstractNumId w:val="26"/>
  </w:num>
  <w:num w:numId="10">
    <w:abstractNumId w:val="17"/>
  </w:num>
  <w:num w:numId="11">
    <w:abstractNumId w:val="5"/>
  </w:num>
  <w:num w:numId="12">
    <w:abstractNumId w:val="25"/>
  </w:num>
  <w:num w:numId="13">
    <w:abstractNumId w:val="24"/>
  </w:num>
  <w:num w:numId="14">
    <w:abstractNumId w:val="19"/>
  </w:num>
  <w:num w:numId="15">
    <w:abstractNumId w:val="12"/>
  </w:num>
  <w:num w:numId="16">
    <w:abstractNumId w:val="11"/>
  </w:num>
  <w:num w:numId="17">
    <w:abstractNumId w:val="18"/>
  </w:num>
  <w:num w:numId="18">
    <w:abstractNumId w:val="29"/>
  </w:num>
  <w:num w:numId="19">
    <w:abstractNumId w:val="13"/>
  </w:num>
  <w:num w:numId="20">
    <w:abstractNumId w:val="8"/>
  </w:num>
  <w:num w:numId="21">
    <w:abstractNumId w:val="15"/>
  </w:num>
  <w:num w:numId="22">
    <w:abstractNumId w:val="3"/>
  </w:num>
  <w:num w:numId="23">
    <w:abstractNumId w:val="16"/>
  </w:num>
  <w:num w:numId="24">
    <w:abstractNumId w:val="28"/>
  </w:num>
  <w:num w:numId="25">
    <w:abstractNumId w:val="1"/>
  </w:num>
  <w:num w:numId="26">
    <w:abstractNumId w:val="20"/>
  </w:num>
  <w:num w:numId="27">
    <w:abstractNumId w:val="2"/>
  </w:num>
  <w:num w:numId="28">
    <w:abstractNumId w:val="10"/>
  </w:num>
  <w:num w:numId="29">
    <w:abstractNumId w:val="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A25"/>
    <w:rsid w:val="00001089"/>
    <w:rsid w:val="00013E08"/>
    <w:rsid w:val="00023F28"/>
    <w:rsid w:val="00025D38"/>
    <w:rsid w:val="0004200C"/>
    <w:rsid w:val="000455F7"/>
    <w:rsid w:val="00046148"/>
    <w:rsid w:val="00070C29"/>
    <w:rsid w:val="00084988"/>
    <w:rsid w:val="000A0D3F"/>
    <w:rsid w:val="000B6DB0"/>
    <w:rsid w:val="000C3086"/>
    <w:rsid w:val="000C7062"/>
    <w:rsid w:val="000E0E8D"/>
    <w:rsid w:val="000E17A1"/>
    <w:rsid w:val="000E1FAF"/>
    <w:rsid w:val="000E26C0"/>
    <w:rsid w:val="000F1FDD"/>
    <w:rsid w:val="000F5A71"/>
    <w:rsid w:val="001151CC"/>
    <w:rsid w:val="00165BC7"/>
    <w:rsid w:val="001673D2"/>
    <w:rsid w:val="001724A0"/>
    <w:rsid w:val="00173195"/>
    <w:rsid w:val="001731A5"/>
    <w:rsid w:val="00186648"/>
    <w:rsid w:val="001B04DA"/>
    <w:rsid w:val="001B4E7C"/>
    <w:rsid w:val="001B6925"/>
    <w:rsid w:val="001C1E8B"/>
    <w:rsid w:val="001D7B5D"/>
    <w:rsid w:val="001E1667"/>
    <w:rsid w:val="001E2C10"/>
    <w:rsid w:val="001E3F6A"/>
    <w:rsid w:val="001E6CFB"/>
    <w:rsid w:val="00200FC1"/>
    <w:rsid w:val="002120A1"/>
    <w:rsid w:val="0021717A"/>
    <w:rsid w:val="00217193"/>
    <w:rsid w:val="00217E3A"/>
    <w:rsid w:val="0022618A"/>
    <w:rsid w:val="00230A2A"/>
    <w:rsid w:val="0023418E"/>
    <w:rsid w:val="0023792C"/>
    <w:rsid w:val="00256AB5"/>
    <w:rsid w:val="002659ED"/>
    <w:rsid w:val="00287FE1"/>
    <w:rsid w:val="002A6409"/>
    <w:rsid w:val="002B6309"/>
    <w:rsid w:val="002C00C3"/>
    <w:rsid w:val="002F3062"/>
    <w:rsid w:val="002F35AC"/>
    <w:rsid w:val="003125AA"/>
    <w:rsid w:val="00314FE8"/>
    <w:rsid w:val="003213F9"/>
    <w:rsid w:val="0033153E"/>
    <w:rsid w:val="00335CCF"/>
    <w:rsid w:val="00341343"/>
    <w:rsid w:val="003456B3"/>
    <w:rsid w:val="00346153"/>
    <w:rsid w:val="00353A9F"/>
    <w:rsid w:val="00366AEC"/>
    <w:rsid w:val="00373D94"/>
    <w:rsid w:val="003777C9"/>
    <w:rsid w:val="00385A20"/>
    <w:rsid w:val="00394D61"/>
    <w:rsid w:val="003A72AA"/>
    <w:rsid w:val="003B3B62"/>
    <w:rsid w:val="003D16A2"/>
    <w:rsid w:val="003D217C"/>
    <w:rsid w:val="003E2CF8"/>
    <w:rsid w:val="003F46D0"/>
    <w:rsid w:val="00404776"/>
    <w:rsid w:val="00410578"/>
    <w:rsid w:val="004126A9"/>
    <w:rsid w:val="00415495"/>
    <w:rsid w:val="0042151C"/>
    <w:rsid w:val="00423961"/>
    <w:rsid w:val="0042427D"/>
    <w:rsid w:val="00424FCD"/>
    <w:rsid w:val="00425C37"/>
    <w:rsid w:val="00427016"/>
    <w:rsid w:val="00432189"/>
    <w:rsid w:val="004411E3"/>
    <w:rsid w:val="00443521"/>
    <w:rsid w:val="004441F1"/>
    <w:rsid w:val="00447DB6"/>
    <w:rsid w:val="004511B4"/>
    <w:rsid w:val="00454FBF"/>
    <w:rsid w:val="00484C90"/>
    <w:rsid w:val="00486870"/>
    <w:rsid w:val="0049235B"/>
    <w:rsid w:val="00494CDC"/>
    <w:rsid w:val="004A02C2"/>
    <w:rsid w:val="004A5A24"/>
    <w:rsid w:val="004B5D72"/>
    <w:rsid w:val="004C2EB1"/>
    <w:rsid w:val="004C40B7"/>
    <w:rsid w:val="004C7B85"/>
    <w:rsid w:val="004D2F6A"/>
    <w:rsid w:val="004D2FBE"/>
    <w:rsid w:val="004D319D"/>
    <w:rsid w:val="004D4F45"/>
    <w:rsid w:val="004F1B25"/>
    <w:rsid w:val="004F5480"/>
    <w:rsid w:val="00511028"/>
    <w:rsid w:val="0052110C"/>
    <w:rsid w:val="00542F17"/>
    <w:rsid w:val="00546EBC"/>
    <w:rsid w:val="005528A3"/>
    <w:rsid w:val="00561D93"/>
    <w:rsid w:val="0056786F"/>
    <w:rsid w:val="00573099"/>
    <w:rsid w:val="0057361B"/>
    <w:rsid w:val="005773BD"/>
    <w:rsid w:val="00581A90"/>
    <w:rsid w:val="005A04FB"/>
    <w:rsid w:val="005B7D25"/>
    <w:rsid w:val="005C325D"/>
    <w:rsid w:val="005C4781"/>
    <w:rsid w:val="005C7B57"/>
    <w:rsid w:val="005E3C4C"/>
    <w:rsid w:val="005E4E60"/>
    <w:rsid w:val="005F1121"/>
    <w:rsid w:val="005F2A75"/>
    <w:rsid w:val="005F42BD"/>
    <w:rsid w:val="005F5A06"/>
    <w:rsid w:val="005F7983"/>
    <w:rsid w:val="005F7A1B"/>
    <w:rsid w:val="006077BA"/>
    <w:rsid w:val="006147F1"/>
    <w:rsid w:val="00617151"/>
    <w:rsid w:val="00627339"/>
    <w:rsid w:val="0063139B"/>
    <w:rsid w:val="00636A30"/>
    <w:rsid w:val="006414DF"/>
    <w:rsid w:val="00642409"/>
    <w:rsid w:val="00644981"/>
    <w:rsid w:val="00644CBE"/>
    <w:rsid w:val="00646DA8"/>
    <w:rsid w:val="00653310"/>
    <w:rsid w:val="00657AD4"/>
    <w:rsid w:val="00664BBD"/>
    <w:rsid w:val="00665BDA"/>
    <w:rsid w:val="00672AF4"/>
    <w:rsid w:val="00682444"/>
    <w:rsid w:val="006913A5"/>
    <w:rsid w:val="006A7EA4"/>
    <w:rsid w:val="006B5221"/>
    <w:rsid w:val="006C3D2C"/>
    <w:rsid w:val="006D1472"/>
    <w:rsid w:val="006D62EF"/>
    <w:rsid w:val="006D735C"/>
    <w:rsid w:val="006E06BD"/>
    <w:rsid w:val="006E3024"/>
    <w:rsid w:val="006E408B"/>
    <w:rsid w:val="006E4379"/>
    <w:rsid w:val="006E733E"/>
    <w:rsid w:val="006F1AAB"/>
    <w:rsid w:val="007041FB"/>
    <w:rsid w:val="00715012"/>
    <w:rsid w:val="00743418"/>
    <w:rsid w:val="0074636F"/>
    <w:rsid w:val="00754309"/>
    <w:rsid w:val="007550D0"/>
    <w:rsid w:val="00770024"/>
    <w:rsid w:val="0077606C"/>
    <w:rsid w:val="00782478"/>
    <w:rsid w:val="007825C6"/>
    <w:rsid w:val="00785997"/>
    <w:rsid w:val="00790298"/>
    <w:rsid w:val="007A781C"/>
    <w:rsid w:val="007A7ECD"/>
    <w:rsid w:val="007B4B0C"/>
    <w:rsid w:val="007D0480"/>
    <w:rsid w:val="007D2D88"/>
    <w:rsid w:val="007E2246"/>
    <w:rsid w:val="007E2917"/>
    <w:rsid w:val="007E2A19"/>
    <w:rsid w:val="008027A0"/>
    <w:rsid w:val="00815FF5"/>
    <w:rsid w:val="008177B2"/>
    <w:rsid w:val="00817F2F"/>
    <w:rsid w:val="00825D80"/>
    <w:rsid w:val="00827523"/>
    <w:rsid w:val="00834151"/>
    <w:rsid w:val="00836868"/>
    <w:rsid w:val="0086253D"/>
    <w:rsid w:val="00863413"/>
    <w:rsid w:val="008864D4"/>
    <w:rsid w:val="00886561"/>
    <w:rsid w:val="00886C91"/>
    <w:rsid w:val="00891B15"/>
    <w:rsid w:val="008A77F2"/>
    <w:rsid w:val="008B7323"/>
    <w:rsid w:val="008C6D44"/>
    <w:rsid w:val="008D2E6F"/>
    <w:rsid w:val="008E5D50"/>
    <w:rsid w:val="008F20BF"/>
    <w:rsid w:val="008F34B3"/>
    <w:rsid w:val="008F4BDD"/>
    <w:rsid w:val="00910BB7"/>
    <w:rsid w:val="00924618"/>
    <w:rsid w:val="00930249"/>
    <w:rsid w:val="00934E32"/>
    <w:rsid w:val="00950EE4"/>
    <w:rsid w:val="009569FA"/>
    <w:rsid w:val="00966278"/>
    <w:rsid w:val="00981F14"/>
    <w:rsid w:val="00992861"/>
    <w:rsid w:val="009972FA"/>
    <w:rsid w:val="009A0774"/>
    <w:rsid w:val="009C150C"/>
    <w:rsid w:val="009C2757"/>
    <w:rsid w:val="009C73E4"/>
    <w:rsid w:val="009D0786"/>
    <w:rsid w:val="009D5809"/>
    <w:rsid w:val="009F07C7"/>
    <w:rsid w:val="009F6BC2"/>
    <w:rsid w:val="00A13BB0"/>
    <w:rsid w:val="00A1744E"/>
    <w:rsid w:val="00A17A7A"/>
    <w:rsid w:val="00A21124"/>
    <w:rsid w:val="00A30521"/>
    <w:rsid w:val="00A31B95"/>
    <w:rsid w:val="00A34036"/>
    <w:rsid w:val="00A35FEB"/>
    <w:rsid w:val="00A3622E"/>
    <w:rsid w:val="00A61CC2"/>
    <w:rsid w:val="00A67C49"/>
    <w:rsid w:val="00A81B3C"/>
    <w:rsid w:val="00A84DA4"/>
    <w:rsid w:val="00A862EB"/>
    <w:rsid w:val="00A87CC6"/>
    <w:rsid w:val="00AA084D"/>
    <w:rsid w:val="00AA4AF9"/>
    <w:rsid w:val="00AC232E"/>
    <w:rsid w:val="00AD0DA5"/>
    <w:rsid w:val="00AE2D84"/>
    <w:rsid w:val="00AE2ED1"/>
    <w:rsid w:val="00AF1A90"/>
    <w:rsid w:val="00AF41F7"/>
    <w:rsid w:val="00AF48DC"/>
    <w:rsid w:val="00AF7883"/>
    <w:rsid w:val="00B04619"/>
    <w:rsid w:val="00B05678"/>
    <w:rsid w:val="00B11826"/>
    <w:rsid w:val="00B13864"/>
    <w:rsid w:val="00B3122A"/>
    <w:rsid w:val="00B3472C"/>
    <w:rsid w:val="00B3765A"/>
    <w:rsid w:val="00B3780C"/>
    <w:rsid w:val="00B45875"/>
    <w:rsid w:val="00B50B6A"/>
    <w:rsid w:val="00B90A69"/>
    <w:rsid w:val="00B918FF"/>
    <w:rsid w:val="00B92DD3"/>
    <w:rsid w:val="00BA0202"/>
    <w:rsid w:val="00BA0C7B"/>
    <w:rsid w:val="00BA3130"/>
    <w:rsid w:val="00BA469B"/>
    <w:rsid w:val="00BC747B"/>
    <w:rsid w:val="00BC7673"/>
    <w:rsid w:val="00BD048F"/>
    <w:rsid w:val="00BD1BF0"/>
    <w:rsid w:val="00BE036A"/>
    <w:rsid w:val="00BE0AF6"/>
    <w:rsid w:val="00BF77A0"/>
    <w:rsid w:val="00C038FF"/>
    <w:rsid w:val="00C24B06"/>
    <w:rsid w:val="00C25C7C"/>
    <w:rsid w:val="00C2714D"/>
    <w:rsid w:val="00C30CD5"/>
    <w:rsid w:val="00C348A4"/>
    <w:rsid w:val="00C37CC7"/>
    <w:rsid w:val="00C44B60"/>
    <w:rsid w:val="00C51B00"/>
    <w:rsid w:val="00C53067"/>
    <w:rsid w:val="00C54071"/>
    <w:rsid w:val="00C57416"/>
    <w:rsid w:val="00C726FB"/>
    <w:rsid w:val="00C72F5E"/>
    <w:rsid w:val="00C74834"/>
    <w:rsid w:val="00C761B2"/>
    <w:rsid w:val="00C77FCE"/>
    <w:rsid w:val="00C839E2"/>
    <w:rsid w:val="00C83C73"/>
    <w:rsid w:val="00C86B50"/>
    <w:rsid w:val="00C90316"/>
    <w:rsid w:val="00CB3A6C"/>
    <w:rsid w:val="00CC2879"/>
    <w:rsid w:val="00CE186A"/>
    <w:rsid w:val="00CE596C"/>
    <w:rsid w:val="00CF6A25"/>
    <w:rsid w:val="00D0359E"/>
    <w:rsid w:val="00D151A4"/>
    <w:rsid w:val="00D211FB"/>
    <w:rsid w:val="00D25915"/>
    <w:rsid w:val="00D3100A"/>
    <w:rsid w:val="00D32419"/>
    <w:rsid w:val="00D42175"/>
    <w:rsid w:val="00D423D1"/>
    <w:rsid w:val="00D62D08"/>
    <w:rsid w:val="00D63DC6"/>
    <w:rsid w:val="00D720CC"/>
    <w:rsid w:val="00D74BCA"/>
    <w:rsid w:val="00D7760E"/>
    <w:rsid w:val="00D777BC"/>
    <w:rsid w:val="00D8016D"/>
    <w:rsid w:val="00D8718F"/>
    <w:rsid w:val="00DA7401"/>
    <w:rsid w:val="00DC052F"/>
    <w:rsid w:val="00DE17BA"/>
    <w:rsid w:val="00DE41CE"/>
    <w:rsid w:val="00DE46D4"/>
    <w:rsid w:val="00DF49C8"/>
    <w:rsid w:val="00E017D3"/>
    <w:rsid w:val="00E078AA"/>
    <w:rsid w:val="00E25BE9"/>
    <w:rsid w:val="00E27C9D"/>
    <w:rsid w:val="00E30A2B"/>
    <w:rsid w:val="00E43230"/>
    <w:rsid w:val="00E54875"/>
    <w:rsid w:val="00E54A4D"/>
    <w:rsid w:val="00E62F81"/>
    <w:rsid w:val="00E64A59"/>
    <w:rsid w:val="00E736CB"/>
    <w:rsid w:val="00E86306"/>
    <w:rsid w:val="00E872BE"/>
    <w:rsid w:val="00E962DD"/>
    <w:rsid w:val="00EB43DB"/>
    <w:rsid w:val="00EB620B"/>
    <w:rsid w:val="00EC457D"/>
    <w:rsid w:val="00EC4E9B"/>
    <w:rsid w:val="00ED1366"/>
    <w:rsid w:val="00ED2F5F"/>
    <w:rsid w:val="00ED4016"/>
    <w:rsid w:val="00ED5CF8"/>
    <w:rsid w:val="00ED7005"/>
    <w:rsid w:val="00EE64CF"/>
    <w:rsid w:val="00EF6DC6"/>
    <w:rsid w:val="00F00BF2"/>
    <w:rsid w:val="00F05B13"/>
    <w:rsid w:val="00F05ECB"/>
    <w:rsid w:val="00F16E58"/>
    <w:rsid w:val="00F201F9"/>
    <w:rsid w:val="00F20981"/>
    <w:rsid w:val="00F26772"/>
    <w:rsid w:val="00F2697F"/>
    <w:rsid w:val="00F270FA"/>
    <w:rsid w:val="00F27F8C"/>
    <w:rsid w:val="00F30693"/>
    <w:rsid w:val="00F32F3C"/>
    <w:rsid w:val="00F410B9"/>
    <w:rsid w:val="00F43CCA"/>
    <w:rsid w:val="00F5436D"/>
    <w:rsid w:val="00F56695"/>
    <w:rsid w:val="00F61903"/>
    <w:rsid w:val="00F634FB"/>
    <w:rsid w:val="00F65F96"/>
    <w:rsid w:val="00F94D75"/>
    <w:rsid w:val="00FA0B77"/>
    <w:rsid w:val="00FA1017"/>
    <w:rsid w:val="00FC2FDA"/>
    <w:rsid w:val="00FC6F7C"/>
    <w:rsid w:val="00FE3CB4"/>
    <w:rsid w:val="00FE6DF7"/>
    <w:rsid w:val="00FF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1A4BC39"/>
  <w15:docId w15:val="{6023E6CA-7527-4938-ACCD-DE32E595B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Main body"/>
    <w:qFormat/>
    <w:rsid w:val="005F5A06"/>
    <w:rPr>
      <w:rFonts w:ascii="Arial" w:hAnsi="Arial"/>
      <w:sz w:val="24"/>
      <w:szCs w:val="22"/>
      <w:lang w:eastAsia="en-US" w:bidi="en-US"/>
    </w:rPr>
  </w:style>
  <w:style w:type="paragraph" w:styleId="Heading1">
    <w:name w:val="heading 1"/>
    <w:aliases w:val="aHeading 1"/>
    <w:basedOn w:val="Normal"/>
    <w:next w:val="Normal"/>
    <w:link w:val="Heading1Char"/>
    <w:uiPriority w:val="99"/>
    <w:qFormat/>
    <w:locked/>
    <w:rsid w:val="00ED7005"/>
    <w:pPr>
      <w:numPr>
        <w:numId w:val="3"/>
      </w:numPr>
      <w:spacing w:after="280"/>
      <w:ind w:left="0" w:firstLine="0"/>
      <w:outlineLvl w:val="0"/>
    </w:pPr>
    <w:rPr>
      <w:b/>
      <w:bCs/>
      <w:sz w:val="32"/>
      <w:szCs w:val="24"/>
    </w:rPr>
  </w:style>
  <w:style w:type="paragraph" w:styleId="Heading2">
    <w:name w:val="heading 2"/>
    <w:aliases w:val="aHeading 2"/>
    <w:basedOn w:val="Normal"/>
    <w:next w:val="Normal"/>
    <w:link w:val="Heading2Char"/>
    <w:uiPriority w:val="99"/>
    <w:unhideWhenUsed/>
    <w:qFormat/>
    <w:locked/>
    <w:rsid w:val="0022618A"/>
    <w:pPr>
      <w:numPr>
        <w:ilvl w:val="1"/>
        <w:numId w:val="3"/>
      </w:numPr>
      <w:spacing w:after="200"/>
      <w:ind w:left="0" w:firstLine="0"/>
      <w:outlineLvl w:val="1"/>
    </w:pPr>
    <w:rPr>
      <w:b/>
      <w:sz w:val="28"/>
      <w:szCs w:val="24"/>
    </w:rPr>
  </w:style>
  <w:style w:type="paragraph" w:styleId="Heading3">
    <w:name w:val="heading 3"/>
    <w:aliases w:val="aHeading 3"/>
    <w:basedOn w:val="Normal"/>
    <w:next w:val="Normal"/>
    <w:link w:val="Heading3Char"/>
    <w:uiPriority w:val="99"/>
    <w:unhideWhenUsed/>
    <w:qFormat/>
    <w:locked/>
    <w:rsid w:val="00EB620B"/>
    <w:pPr>
      <w:numPr>
        <w:ilvl w:val="2"/>
        <w:numId w:val="3"/>
      </w:numPr>
      <w:spacing w:after="200"/>
      <w:ind w:left="0" w:firstLine="0"/>
      <w:outlineLvl w:val="2"/>
    </w:pPr>
    <w:rPr>
      <w:b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rsid w:val="0077606C"/>
    <w:pPr>
      <w:numPr>
        <w:ilvl w:val="3"/>
        <w:numId w:val="3"/>
      </w:numPr>
      <w:pBdr>
        <w:bottom w:val="single" w:sz="4" w:space="2" w:color="B8CCE4"/>
      </w:pBdr>
      <w:spacing w:before="200" w:after="80"/>
      <w:outlineLvl w:val="3"/>
    </w:pPr>
    <w:rPr>
      <w:rFonts w:ascii="Cambria" w:hAnsi="Cambria"/>
      <w:i/>
      <w:iCs/>
      <w:color w:val="4F81BD"/>
      <w:szCs w:val="24"/>
    </w:rPr>
  </w:style>
  <w:style w:type="paragraph" w:styleId="Heading5">
    <w:name w:val="heading 5"/>
    <w:basedOn w:val="Normal"/>
    <w:next w:val="Normal"/>
    <w:link w:val="Heading5Char"/>
    <w:uiPriority w:val="99"/>
    <w:unhideWhenUsed/>
    <w:rsid w:val="0077606C"/>
    <w:pPr>
      <w:numPr>
        <w:ilvl w:val="4"/>
        <w:numId w:val="3"/>
      </w:numPr>
      <w:spacing w:before="200" w:after="80"/>
      <w:outlineLvl w:val="4"/>
    </w:pPr>
    <w:rPr>
      <w:rFonts w:ascii="Cambria" w:hAnsi="Cambria"/>
      <w:color w:val="4F81BD"/>
    </w:rPr>
  </w:style>
  <w:style w:type="paragraph" w:styleId="Heading6">
    <w:name w:val="heading 6"/>
    <w:basedOn w:val="Normal"/>
    <w:next w:val="Normal"/>
    <w:link w:val="Heading6Char"/>
    <w:uiPriority w:val="99"/>
    <w:unhideWhenUsed/>
    <w:rsid w:val="0077606C"/>
    <w:pPr>
      <w:numPr>
        <w:ilvl w:val="5"/>
        <w:numId w:val="3"/>
      </w:numPr>
      <w:spacing w:before="280" w:after="100"/>
      <w:outlineLvl w:val="5"/>
    </w:pPr>
    <w:rPr>
      <w:rFonts w:ascii="Cambria" w:hAnsi="Cambria"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9"/>
    <w:unhideWhenUsed/>
    <w:rsid w:val="0077606C"/>
    <w:pPr>
      <w:numPr>
        <w:ilvl w:val="6"/>
        <w:numId w:val="3"/>
      </w:numPr>
      <w:spacing w:before="320" w:after="100"/>
      <w:outlineLvl w:val="6"/>
    </w:pPr>
    <w:rPr>
      <w:rFonts w:ascii="Cambria" w:hAnsi="Cambri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9"/>
    <w:unhideWhenUsed/>
    <w:rsid w:val="0077606C"/>
    <w:pPr>
      <w:numPr>
        <w:ilvl w:val="7"/>
        <w:numId w:val="3"/>
      </w:numPr>
      <w:spacing w:before="320" w:after="100"/>
      <w:outlineLvl w:val="7"/>
    </w:pPr>
    <w:rPr>
      <w:rFonts w:ascii="Cambria" w:hAnsi="Cambri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unhideWhenUsed/>
    <w:rsid w:val="0077606C"/>
    <w:pPr>
      <w:numPr>
        <w:ilvl w:val="8"/>
        <w:numId w:val="3"/>
      </w:numPr>
      <w:spacing w:before="320" w:after="100"/>
      <w:outlineLvl w:val="8"/>
    </w:pPr>
    <w:rPr>
      <w:rFonts w:ascii="Cambria" w:hAnsi="Cambri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06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760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locked/>
    <w:rsid w:val="007760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606C"/>
  </w:style>
  <w:style w:type="paragraph" w:styleId="Footer">
    <w:name w:val="footer"/>
    <w:basedOn w:val="Normal"/>
    <w:link w:val="FooterChar"/>
    <w:uiPriority w:val="99"/>
    <w:unhideWhenUsed/>
    <w:rsid w:val="007760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606C"/>
  </w:style>
  <w:style w:type="character" w:customStyle="1" w:styleId="Heading1Char">
    <w:name w:val="Heading 1 Char"/>
    <w:aliases w:val="aHeading 1 Char"/>
    <w:link w:val="Heading1"/>
    <w:uiPriority w:val="9"/>
    <w:rsid w:val="00ED7005"/>
    <w:rPr>
      <w:rFonts w:ascii="Arial" w:hAnsi="Arial"/>
      <w:b/>
      <w:bCs/>
      <w:sz w:val="32"/>
      <w:szCs w:val="24"/>
      <w:lang w:eastAsia="en-US" w:bidi="en-US"/>
    </w:rPr>
  </w:style>
  <w:style w:type="character" w:customStyle="1" w:styleId="Heading2Char">
    <w:name w:val="Heading 2 Char"/>
    <w:aliases w:val="aHeading 2 Char"/>
    <w:link w:val="Heading2"/>
    <w:uiPriority w:val="9"/>
    <w:rsid w:val="0022618A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Heading3Char">
    <w:name w:val="Heading 3 Char"/>
    <w:aliases w:val="aHeading 3 Char"/>
    <w:link w:val="Heading3"/>
    <w:uiPriority w:val="9"/>
    <w:rsid w:val="00EB620B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77606C"/>
    <w:rPr>
      <w:rFonts w:ascii="Cambria" w:eastAsia="Times New Roman" w:hAnsi="Cambria" w:cs="Times New Roman"/>
      <w:i/>
      <w:iCs/>
      <w:color w:val="4F81BD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77606C"/>
    <w:rPr>
      <w:rFonts w:ascii="Cambria" w:eastAsia="Times New Roman" w:hAnsi="Cambria" w:cs="Times New Roman"/>
      <w:color w:val="4F81BD"/>
      <w:sz w:val="24"/>
    </w:rPr>
  </w:style>
  <w:style w:type="character" w:customStyle="1" w:styleId="Heading6Char">
    <w:name w:val="Heading 6 Char"/>
    <w:link w:val="Heading6"/>
    <w:uiPriority w:val="9"/>
    <w:semiHidden/>
    <w:rsid w:val="0077606C"/>
    <w:rPr>
      <w:rFonts w:ascii="Cambria" w:eastAsia="Times New Roman" w:hAnsi="Cambria" w:cs="Times New Roman"/>
      <w:i/>
      <w:iCs/>
      <w:color w:val="4F81BD"/>
      <w:sz w:val="24"/>
    </w:rPr>
  </w:style>
  <w:style w:type="character" w:customStyle="1" w:styleId="Heading7Char">
    <w:name w:val="Heading 7 Char"/>
    <w:link w:val="Heading7"/>
    <w:uiPriority w:val="9"/>
    <w:semiHidden/>
    <w:rsid w:val="0077606C"/>
    <w:rPr>
      <w:rFonts w:ascii="Cambria" w:eastAsia="Times New Roman" w:hAnsi="Cambria" w:cs="Times New Roman"/>
      <w:b/>
      <w:bCs/>
      <w:color w:val="9BBB59"/>
      <w:sz w:val="20"/>
      <w:szCs w:val="20"/>
    </w:rPr>
  </w:style>
  <w:style w:type="character" w:customStyle="1" w:styleId="Heading8Char">
    <w:name w:val="Heading 8 Char"/>
    <w:link w:val="Heading8"/>
    <w:uiPriority w:val="9"/>
    <w:semiHidden/>
    <w:rsid w:val="0077606C"/>
    <w:rPr>
      <w:rFonts w:ascii="Cambria" w:eastAsia="Times New Roman" w:hAnsi="Cambria" w:cs="Times New Roman"/>
      <w:b/>
      <w:bCs/>
      <w:i/>
      <w:iCs/>
      <w:color w:val="9BBB59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77606C"/>
    <w:rPr>
      <w:rFonts w:ascii="Cambria" w:eastAsia="Times New Roman" w:hAnsi="Cambria" w:cs="Times New Roman"/>
      <w:i/>
      <w:iCs/>
      <w:color w:val="9BBB59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77606C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/>
      <w:i/>
      <w:iCs/>
      <w:color w:val="243F60"/>
      <w:sz w:val="60"/>
      <w:szCs w:val="60"/>
    </w:rPr>
  </w:style>
  <w:style w:type="character" w:customStyle="1" w:styleId="TitleChar">
    <w:name w:val="Title Char"/>
    <w:link w:val="Title"/>
    <w:uiPriority w:val="10"/>
    <w:rsid w:val="0077606C"/>
    <w:rPr>
      <w:rFonts w:ascii="Cambria" w:eastAsia="Times New Roman" w:hAnsi="Cambria" w:cs="Times New Roman"/>
      <w:i/>
      <w:iCs/>
      <w:color w:val="243F60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rsid w:val="0077606C"/>
    <w:pPr>
      <w:spacing w:before="200" w:after="900"/>
      <w:jc w:val="right"/>
    </w:pPr>
    <w:rPr>
      <w:i/>
      <w:iCs/>
      <w:szCs w:val="24"/>
    </w:rPr>
  </w:style>
  <w:style w:type="character" w:customStyle="1" w:styleId="SubtitleChar">
    <w:name w:val="Subtitle Char"/>
    <w:link w:val="Subtitle"/>
    <w:uiPriority w:val="11"/>
    <w:rsid w:val="0077606C"/>
    <w:rPr>
      <w:rFonts w:ascii="Calibri"/>
      <w:i/>
      <w:iCs/>
      <w:sz w:val="24"/>
      <w:szCs w:val="24"/>
    </w:rPr>
  </w:style>
  <w:style w:type="character" w:styleId="Strong">
    <w:name w:val="Strong"/>
    <w:uiPriority w:val="22"/>
    <w:rsid w:val="0077606C"/>
    <w:rPr>
      <w:b/>
      <w:bCs/>
      <w:spacing w:val="0"/>
    </w:rPr>
  </w:style>
  <w:style w:type="character" w:styleId="Emphasis">
    <w:name w:val="Emphasis"/>
    <w:uiPriority w:val="20"/>
    <w:rsid w:val="0077606C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rsid w:val="0077606C"/>
  </w:style>
  <w:style w:type="paragraph" w:styleId="ListParagraph">
    <w:name w:val="List Paragraph"/>
    <w:basedOn w:val="Normal"/>
    <w:uiPriority w:val="34"/>
    <w:rsid w:val="0077606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rsid w:val="0077606C"/>
    <w:rPr>
      <w:rFonts w:ascii="Cambria" w:hAnsi="Cambria"/>
      <w:i/>
      <w:iCs/>
      <w:color w:val="5A5A5A"/>
    </w:rPr>
  </w:style>
  <w:style w:type="character" w:customStyle="1" w:styleId="QuoteChar">
    <w:name w:val="Quote Char"/>
    <w:link w:val="Quote"/>
    <w:uiPriority w:val="29"/>
    <w:rsid w:val="0077606C"/>
    <w:rPr>
      <w:rFonts w:ascii="Cambria" w:eastAsia="Times New Roman" w:hAnsi="Cambria" w:cs="Times New Roman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rsid w:val="0077606C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/>
      <w:i/>
      <w:iCs/>
      <w:color w:val="FFFFFF"/>
      <w:szCs w:val="24"/>
    </w:rPr>
  </w:style>
  <w:style w:type="character" w:customStyle="1" w:styleId="IntenseQuoteChar">
    <w:name w:val="Intense Quote Char"/>
    <w:link w:val="IntenseQuote"/>
    <w:uiPriority w:val="30"/>
    <w:rsid w:val="0077606C"/>
    <w:rPr>
      <w:rFonts w:ascii="Cambria" w:eastAsia="Times New Roman" w:hAnsi="Cambria" w:cs="Times New Roman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rsid w:val="0077606C"/>
    <w:rPr>
      <w:i/>
      <w:iCs/>
      <w:color w:val="5A5A5A"/>
    </w:rPr>
  </w:style>
  <w:style w:type="character" w:styleId="IntenseEmphasis">
    <w:name w:val="Intense Emphasis"/>
    <w:uiPriority w:val="21"/>
    <w:rsid w:val="0077606C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rsid w:val="0077606C"/>
    <w:rPr>
      <w:color w:val="auto"/>
      <w:u w:val="single" w:color="9BBB59"/>
    </w:rPr>
  </w:style>
  <w:style w:type="character" w:styleId="IntenseReference">
    <w:name w:val="Intense Reference"/>
    <w:uiPriority w:val="32"/>
    <w:rsid w:val="0077606C"/>
    <w:rPr>
      <w:b/>
      <w:bCs/>
      <w:color w:val="76923C"/>
      <w:u w:val="single" w:color="9BBB59"/>
    </w:rPr>
  </w:style>
  <w:style w:type="character" w:styleId="BookTitle">
    <w:name w:val="Book Title"/>
    <w:uiPriority w:val="33"/>
    <w:rsid w:val="0077606C"/>
    <w:rPr>
      <w:rFonts w:ascii="Cambria" w:eastAsia="Times New Roman" w:hAnsi="Cambria" w:cs="Times New Roman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606C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77606C"/>
    <w:rPr>
      <w:b/>
      <w:bCs/>
      <w:sz w:val="18"/>
      <w:szCs w:val="18"/>
    </w:rPr>
  </w:style>
  <w:style w:type="character" w:customStyle="1" w:styleId="NoSpacingChar">
    <w:name w:val="No Spacing Char"/>
    <w:basedOn w:val="DefaultParagraphFont"/>
    <w:link w:val="NoSpacing"/>
    <w:uiPriority w:val="1"/>
    <w:rsid w:val="0077606C"/>
  </w:style>
  <w:style w:type="character" w:styleId="Hyperlink">
    <w:name w:val="Hyperlink"/>
    <w:uiPriority w:val="99"/>
    <w:unhideWhenUsed/>
    <w:rsid w:val="003D16A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627339"/>
    <w:pPr>
      <w:tabs>
        <w:tab w:val="left" w:pos="440"/>
        <w:tab w:val="right" w:leader="dot" w:pos="10456"/>
      </w:tabs>
      <w:spacing w:after="100"/>
    </w:pPr>
    <w:rPr>
      <w:b/>
      <w:noProof/>
      <w:sz w:val="32"/>
      <w:szCs w:val="36"/>
    </w:rPr>
  </w:style>
  <w:style w:type="paragraph" w:customStyle="1" w:styleId="aMainText">
    <w:name w:val="aMain Text"/>
    <w:basedOn w:val="Header"/>
    <w:link w:val="aMainTextCharChar"/>
    <w:rsid w:val="00EB620B"/>
    <w:pPr>
      <w:tabs>
        <w:tab w:val="clear" w:pos="4513"/>
        <w:tab w:val="clear" w:pos="9026"/>
      </w:tabs>
    </w:pPr>
    <w:rPr>
      <w:rFonts w:eastAsia="Times"/>
      <w:szCs w:val="24"/>
      <w:lang w:eastAsia="en-GB" w:bidi="ar-SA"/>
    </w:rPr>
  </w:style>
  <w:style w:type="character" w:customStyle="1" w:styleId="aMainTextCharChar">
    <w:name w:val="aMain Text Char Char"/>
    <w:link w:val="aMainText"/>
    <w:rsid w:val="00EB620B"/>
    <w:rPr>
      <w:rFonts w:ascii="Arial" w:eastAsia="Times" w:hAnsi="Arial" w:cs="Times New Roman"/>
      <w:sz w:val="24"/>
      <w:szCs w:val="24"/>
      <w:lang w:val="en-GB" w:eastAsia="en-GB" w:bidi="ar-SA"/>
    </w:rPr>
  </w:style>
  <w:style w:type="paragraph" w:styleId="TOC2">
    <w:name w:val="toc 2"/>
    <w:basedOn w:val="Normal"/>
    <w:next w:val="Normal"/>
    <w:autoRedefine/>
    <w:uiPriority w:val="39"/>
    <w:unhideWhenUsed/>
    <w:rsid w:val="00627339"/>
    <w:pPr>
      <w:tabs>
        <w:tab w:val="left" w:pos="880"/>
        <w:tab w:val="right" w:leader="dot" w:pos="10456"/>
      </w:tabs>
      <w:spacing w:after="100"/>
    </w:pPr>
    <w:rPr>
      <w:noProof/>
      <w:sz w:val="28"/>
      <w:szCs w:val="28"/>
    </w:rPr>
  </w:style>
  <w:style w:type="table" w:styleId="TableGrid">
    <w:name w:val="Table Grid"/>
    <w:basedOn w:val="TableNormal"/>
    <w:uiPriority w:val="59"/>
    <w:rsid w:val="00EB62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OC3">
    <w:name w:val="toc 3"/>
    <w:basedOn w:val="Normal"/>
    <w:next w:val="Normal"/>
    <w:autoRedefine/>
    <w:uiPriority w:val="39"/>
    <w:unhideWhenUsed/>
    <w:rsid w:val="00627339"/>
    <w:pPr>
      <w:spacing w:after="100"/>
    </w:pPr>
  </w:style>
  <w:style w:type="character" w:styleId="PlaceholderText">
    <w:name w:val="Placeholder Text"/>
    <w:uiPriority w:val="99"/>
    <w:semiHidden/>
    <w:rsid w:val="007E2246"/>
    <w:rPr>
      <w:color w:val="808080"/>
    </w:rPr>
  </w:style>
  <w:style w:type="paragraph" w:customStyle="1" w:styleId="Policytitle">
    <w:name w:val="Policy title"/>
    <w:basedOn w:val="Normal"/>
    <w:rsid w:val="00217193"/>
    <w:rPr>
      <w:color w:val="FFFFFF"/>
      <w:sz w:val="58"/>
      <w:szCs w:val="58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627339"/>
  </w:style>
  <w:style w:type="paragraph" w:customStyle="1" w:styleId="aTitle">
    <w:name w:val="aTitle"/>
    <w:basedOn w:val="Header"/>
    <w:link w:val="aTitleChar"/>
    <w:qFormat/>
    <w:rsid w:val="005C325D"/>
    <w:rPr>
      <w:b/>
      <w:color w:val="1F497D" w:themeColor="text2"/>
      <w:sz w:val="68"/>
    </w:rPr>
  </w:style>
  <w:style w:type="paragraph" w:customStyle="1" w:styleId="Pa2">
    <w:name w:val="Pa2"/>
    <w:basedOn w:val="Normal"/>
    <w:next w:val="Normal"/>
    <w:uiPriority w:val="99"/>
    <w:rsid w:val="000E17A1"/>
    <w:pPr>
      <w:autoSpaceDE w:val="0"/>
      <w:autoSpaceDN w:val="0"/>
      <w:adjustRightInd w:val="0"/>
      <w:spacing w:line="241" w:lineRule="atLeast"/>
    </w:pPr>
    <w:rPr>
      <w:rFonts w:eastAsiaTheme="minorHAnsi" w:cs="Arial"/>
      <w:szCs w:val="24"/>
      <w:lang w:bidi="ar-SA"/>
    </w:rPr>
  </w:style>
  <w:style w:type="character" w:customStyle="1" w:styleId="aTitleChar">
    <w:name w:val="aTitle Char"/>
    <w:basedOn w:val="HeaderChar"/>
    <w:link w:val="aTitle"/>
    <w:rsid w:val="005C325D"/>
    <w:rPr>
      <w:rFonts w:ascii="Arial" w:hAnsi="Arial"/>
      <w:b/>
      <w:color w:val="1F497D" w:themeColor="text2"/>
      <w:sz w:val="68"/>
      <w:szCs w:val="22"/>
      <w:lang w:eastAsia="en-US" w:bidi="en-US"/>
    </w:rPr>
  </w:style>
  <w:style w:type="paragraph" w:customStyle="1" w:styleId="Pa3">
    <w:name w:val="Pa3"/>
    <w:basedOn w:val="Normal"/>
    <w:next w:val="Normal"/>
    <w:uiPriority w:val="99"/>
    <w:rsid w:val="000E17A1"/>
    <w:pPr>
      <w:autoSpaceDE w:val="0"/>
      <w:autoSpaceDN w:val="0"/>
      <w:adjustRightInd w:val="0"/>
      <w:spacing w:line="241" w:lineRule="atLeast"/>
    </w:pPr>
    <w:rPr>
      <w:rFonts w:eastAsiaTheme="minorHAnsi" w:cs="Arial"/>
      <w:szCs w:val="24"/>
      <w:lang w:bidi="ar-SA"/>
    </w:rPr>
  </w:style>
  <w:style w:type="paragraph" w:customStyle="1" w:styleId="Pa1">
    <w:name w:val="Pa1"/>
    <w:basedOn w:val="Normal"/>
    <w:next w:val="Normal"/>
    <w:uiPriority w:val="99"/>
    <w:rsid w:val="000E17A1"/>
    <w:pPr>
      <w:autoSpaceDE w:val="0"/>
      <w:autoSpaceDN w:val="0"/>
      <w:adjustRightInd w:val="0"/>
      <w:spacing w:line="241" w:lineRule="atLeast"/>
    </w:pPr>
    <w:rPr>
      <w:rFonts w:eastAsiaTheme="minorHAnsi" w:cs="Arial"/>
      <w:szCs w:val="24"/>
      <w:lang w:bidi="ar-SA"/>
    </w:rPr>
  </w:style>
  <w:style w:type="paragraph" w:styleId="CommentText">
    <w:name w:val="annotation text"/>
    <w:basedOn w:val="Normal"/>
    <w:link w:val="CommentTextChar"/>
    <w:uiPriority w:val="99"/>
    <w:unhideWhenUsed/>
    <w:rsid w:val="00A174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1744E"/>
    <w:rPr>
      <w:rFonts w:ascii="Arial" w:hAnsi="Arial"/>
      <w:lang w:eastAsia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A1017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10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1017"/>
    <w:rPr>
      <w:rFonts w:ascii="Arial" w:hAnsi="Arial"/>
      <w:b/>
      <w:bCs/>
      <w:lang w:eastAsia="en-US" w:bidi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776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06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26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hyperlink" Target="mailto:occhealthadmin@durham.gov.uk" TargetMode="Externa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header" Target="header3.xml"/><Relationship Id="rId25" Type="http://schemas.openxmlformats.org/officeDocument/2006/relationships/header" Target="header5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hyperlink" Target="mailto:PESSchools@durham.gov.uk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eader" Target="header4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openxmlformats.org/officeDocument/2006/relationships/hyperlink" Target="http://www.healthassuredeap.com" TargetMode="External"/><Relationship Id="rId28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hyperlink" Target="mailto:hradvice@durham.gov.uk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hyperlink" Target="mailto:hsteam@durham.gov.uk" TargetMode="External"/><Relationship Id="rId27" Type="http://schemas.openxmlformats.org/officeDocument/2006/relationships/header" Target="header6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12%20-%20Schools%20HR%20Advice%20&amp;%20Support\6%20-%20Policies%20&amp;%20Procedures\-%20New%20templates\Schools\Guidance%20Doc%20(Schools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>Policy Title</Abstract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6F23CE400189499F7CE2E59BA23C5B" ma:contentTypeVersion="0" ma:contentTypeDescription="Create a new document." ma:contentTypeScope="" ma:versionID="de2ebd40a8b6414eaca81aed183fe6e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A11953-461A-4275-AB6C-A19D186AB6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BF48D7-378E-4144-8832-1BBB09B08C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7511E7E-AB7F-4094-9962-2AF28A754509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6A9D1CBB-A7F7-4C42-8394-6099DC04F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Guidance Doc (Schools)</Template>
  <TotalTime>1</TotalTime>
  <Pages>7</Pages>
  <Words>2284</Words>
  <Characters>13020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DCC</Company>
  <LinksUpToDate>false</LinksUpToDate>
  <CharactersWithSpaces>15274</CharactersWithSpaces>
  <SharedDoc>false</SharedDoc>
  <HLinks>
    <vt:vector size="72" baseType="variant">
      <vt:variant>
        <vt:i4>1048630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_Toc346633065</vt:lpwstr>
      </vt:variant>
      <vt:variant>
        <vt:i4>1048630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_Toc346633064</vt:lpwstr>
      </vt:variant>
      <vt:variant>
        <vt:i4>1048630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_Toc346633063</vt:lpwstr>
      </vt:variant>
      <vt:variant>
        <vt:i4>1048630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_Toc346633062</vt:lpwstr>
      </vt:variant>
      <vt:variant>
        <vt:i4>1048630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_Toc346633061</vt:lpwstr>
      </vt:variant>
      <vt:variant>
        <vt:i4>1048630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_Toc346633060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_Toc346633059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_Toc346633058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_Toc346633057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_Toc346633056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_Toc346633055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_Toc346633054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Lauren Kaps</dc:creator>
  <dc:description>Policy and Procedure</dc:description>
  <cp:lastModifiedBy>R. Caunce [ Villa Real School ]</cp:lastModifiedBy>
  <cp:revision>2</cp:revision>
  <cp:lastPrinted>2019-07-26T13:49:00Z</cp:lastPrinted>
  <dcterms:created xsi:type="dcterms:W3CDTF">2020-01-23T11:37:00Z</dcterms:created>
  <dcterms:modified xsi:type="dcterms:W3CDTF">2020-01-23T11:37:00Z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0x0101003B6F23CE400189499F7CE2E59BA23C5B</vt:lpwstr>
  </property>
</Properties>
</file>